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8F5E" w14:textId="61817812" w:rsidR="00ED658C" w:rsidRPr="00CA2381" w:rsidRDefault="00817D6E" w:rsidP="00CA2381">
      <w:pPr>
        <w:spacing w:after="5" w:line="271" w:lineRule="auto"/>
        <w:ind w:left="3358" w:right="2792" w:hanging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14:paraId="692E1021" w14:textId="77777777" w:rsidR="00CA2381" w:rsidRPr="00CA2381" w:rsidRDefault="00817D6E" w:rsidP="00CA2381">
      <w:pPr>
        <w:spacing w:after="5" w:line="271" w:lineRule="auto"/>
        <w:ind w:left="2160" w:right="2741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proofErr w:type="gram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E549D4" w:rsidRPr="00CA238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5</w:t>
      </w: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E549D4" w:rsidRPr="00CA238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6</w:t>
      </w:r>
      <w:proofErr w:type="gram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жылының</w:t>
      </w:r>
      <w:proofErr w:type="spell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күзгі</w:t>
      </w:r>
      <w:proofErr w:type="spellEnd"/>
      <w:r w:rsidR="00CA2381" w:rsidRPr="00CA238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семестрі</w:t>
      </w:r>
      <w:proofErr w:type="spell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549D4" w:rsidRPr="00CA2381">
        <w:rPr>
          <w:rFonts w:ascii="Times New Roman" w:hAnsi="Times New Roman" w:cs="Times New Roman"/>
          <w:b/>
          <w:sz w:val="20"/>
          <w:szCs w:val="20"/>
          <w:lang w:val="kk-KZ"/>
        </w:rPr>
        <w:t>7М04217 Құқықтану</w:t>
      </w:r>
      <w:r w:rsidR="00E549D4"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</w:t>
      </w:r>
      <w:r w:rsidR="00CA2381" w:rsidRPr="00CA238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26E4E277" w14:textId="6B63A7ED" w:rsidR="00ED658C" w:rsidRPr="00CA2381" w:rsidRDefault="00E549D4" w:rsidP="00CA2381">
      <w:pPr>
        <w:spacing w:after="5" w:line="271" w:lineRule="auto"/>
        <w:ind w:left="2160" w:right="2741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</w:t>
      </w:r>
      <w:r w:rsidR="00AB3982"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17D6E"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курс, </w:t>
      </w:r>
      <w:proofErr w:type="spellStart"/>
      <w:r w:rsidR="00817D6E" w:rsidRPr="00CA2381">
        <w:rPr>
          <w:rFonts w:ascii="Times New Roman" w:eastAsia="Times New Roman" w:hAnsi="Times New Roman" w:cs="Times New Roman"/>
          <w:b/>
          <w:sz w:val="20"/>
          <w:szCs w:val="20"/>
        </w:rPr>
        <w:t>қазақ</w:t>
      </w:r>
      <w:proofErr w:type="spellEnd"/>
      <w:r w:rsidR="00817D6E"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17D6E" w:rsidRPr="00CA2381">
        <w:rPr>
          <w:rFonts w:ascii="Times New Roman" w:eastAsia="Times New Roman" w:hAnsi="Times New Roman" w:cs="Times New Roman"/>
          <w:b/>
          <w:sz w:val="20"/>
          <w:szCs w:val="20"/>
        </w:rPr>
        <w:t>бөлімі</w:t>
      </w:r>
      <w:proofErr w:type="spellEnd"/>
    </w:p>
    <w:p w14:paraId="35D0B67D" w14:textId="77777777" w:rsidR="00ED658C" w:rsidRPr="00CA2381" w:rsidRDefault="00817D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924" w:type="dxa"/>
        <w:tblInd w:w="-431" w:type="dxa"/>
        <w:tblLayout w:type="fixed"/>
        <w:tblCellMar>
          <w:top w:w="15" w:type="dxa"/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2298"/>
        <w:gridCol w:w="1250"/>
        <w:gridCol w:w="622"/>
        <w:gridCol w:w="1122"/>
        <w:gridCol w:w="1091"/>
        <w:gridCol w:w="1092"/>
        <w:gridCol w:w="1349"/>
        <w:gridCol w:w="1100"/>
      </w:tblGrid>
      <w:tr w:rsidR="00ED658C" w:rsidRPr="00CA2381" w14:paraId="4C5AA36D" w14:textId="77777777" w:rsidTr="00582835">
        <w:trPr>
          <w:trHeight w:val="272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462E9" w14:textId="77777777" w:rsidR="00ED658C" w:rsidRPr="00CA2381" w:rsidRDefault="00817D6E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ID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2F5A949" w14:textId="3E181830" w:rsidR="00F45B98" w:rsidRPr="00CA2381" w:rsidRDefault="00F45B98">
            <w:pPr>
              <w:ind w:left="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6C211F" w14:textId="77777777" w:rsidR="00ED658C" w:rsidRPr="00CA2381" w:rsidRDefault="00817D6E">
            <w:pPr>
              <w:spacing w:line="280" w:lineRule="auto"/>
              <w:ind w:left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14:paraId="603F86AA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БӨЖ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</w:p>
          <w:p w14:paraId="001E10E3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7A81E0" w14:textId="77777777" w:rsidR="00ED658C" w:rsidRPr="00CA2381" w:rsidRDefault="00817D6E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D524B4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Кредиттердің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саны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EDC356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D6BB20D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9A8792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E4FC6C7" w14:textId="77777777" w:rsidR="00ED658C" w:rsidRPr="00CA2381" w:rsidRDefault="00817D6E">
            <w:pPr>
              <w:spacing w:after="22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8998DC" w14:textId="77777777" w:rsidR="00ED658C" w:rsidRPr="00CA2381" w:rsidRDefault="00817D6E">
            <w:pPr>
              <w:spacing w:after="7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AB9FE38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(CОӨЖ) </w:t>
            </w:r>
          </w:p>
        </w:tc>
      </w:tr>
      <w:tr w:rsidR="00ED658C" w:rsidRPr="00CA2381" w14:paraId="08C81AAE" w14:textId="77777777" w:rsidTr="00582835">
        <w:trPr>
          <w:trHeight w:val="1115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7AD1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52F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422D13" w14:textId="77777777" w:rsidR="00ED658C" w:rsidRPr="00CA2381" w:rsidRDefault="0081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(Д)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C7F2F1" w14:textId="77777777" w:rsidR="00ED658C" w:rsidRPr="00CA2381" w:rsidRDefault="00817D6E">
            <w:pPr>
              <w:spacing w:after="38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Семинар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BFD481" w14:textId="77777777" w:rsidR="00ED658C" w:rsidRPr="00CA2381" w:rsidRDefault="00817D6E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(СС)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48213E" w14:textId="77777777" w:rsidR="00ED658C" w:rsidRPr="00CA2381" w:rsidRDefault="00817D6E">
            <w:pPr>
              <w:spacing w:line="28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F303331" w14:textId="77777777" w:rsidR="00ED658C" w:rsidRPr="00CA2381" w:rsidRDefault="00817D6E">
            <w:pPr>
              <w:ind w:righ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(ЗС) 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FAE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D9DF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00FBF191" w14:textId="77777777" w:rsidTr="00582835">
        <w:trPr>
          <w:trHeight w:val="47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7D6" w14:textId="1FFC1E59" w:rsidR="00ED658C" w:rsidRPr="00CA2381" w:rsidRDefault="00E549D4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69001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теориясының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7F18" w14:textId="1C7D16C3" w:rsidR="00ED658C" w:rsidRPr="00CA2381" w:rsidRDefault="00F6004A">
            <w:pPr>
              <w:ind w:righ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4160BC" w14:textId="77777777" w:rsidR="00ED658C" w:rsidRPr="00CA2381" w:rsidRDefault="0081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BCB" w14:textId="093B711B" w:rsidR="00ED658C" w:rsidRPr="00CA2381" w:rsidRDefault="00817D6E">
            <w:pPr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80FAF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FBBD" w14:textId="380C0377" w:rsidR="00ED658C" w:rsidRPr="00CA2381" w:rsidRDefault="00817D6E">
            <w:pPr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80FAF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CA0" w14:textId="77777777" w:rsidR="00ED658C" w:rsidRPr="00CA2381" w:rsidRDefault="00817D6E">
            <w:pPr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C474" w14:textId="77777777" w:rsidR="00ED658C" w:rsidRPr="00CA2381" w:rsidRDefault="00817D6E">
            <w:pPr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796C" w14:textId="1D1FB162" w:rsidR="00ED658C" w:rsidRPr="00CA2381" w:rsidRDefault="00180FAF">
            <w:pPr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658C" w:rsidRPr="00CA2381" w14:paraId="6078C392" w14:textId="77777777" w:rsidTr="00582835">
        <w:trPr>
          <w:trHeight w:val="23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C6EE62C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80FD0E" w14:textId="77777777" w:rsidR="00ED658C" w:rsidRPr="00CA2381" w:rsidRDefault="00817D6E">
            <w:pPr>
              <w:ind w:left="637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 ТУРАЛЫ АКАДЕМИЯЛЫҚ АҚПАРАТ </w:t>
            </w:r>
          </w:p>
        </w:tc>
      </w:tr>
      <w:tr w:rsidR="00ED658C" w:rsidRPr="00CA2381" w14:paraId="271A2032" w14:textId="77777777" w:rsidTr="00582835">
        <w:trPr>
          <w:trHeight w:val="70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ECE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47F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Циклы,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компоненті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D54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B43" w14:textId="77777777" w:rsidR="00ED658C" w:rsidRPr="00CA2381" w:rsidRDefault="00817D6E">
            <w:pPr>
              <w:ind w:left="7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Семинар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AAD3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платфомасы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658C" w:rsidRPr="00CA2381" w14:paraId="56EBA856" w14:textId="77777777" w:rsidTr="00582835">
        <w:trPr>
          <w:trHeight w:val="116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2D7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Офлайн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02E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Бейіндеуші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8E4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770C" w14:textId="77777777" w:rsidR="00ED658C" w:rsidRPr="00CA2381" w:rsidRDefault="00817D6E">
            <w:pPr>
              <w:ind w:left="7" w:right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есептерді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77E" w14:textId="341865D3" w:rsidR="00ED658C" w:rsidRPr="00CA2381" w:rsidRDefault="00E549D4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Ауызша, офлайн</w:t>
            </w:r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658C" w:rsidRPr="00CA2381" w14:paraId="5953D95C" w14:textId="77777777" w:rsidTr="00582835">
        <w:trPr>
          <w:trHeight w:val="24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C3BC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AA1" w14:textId="0D968816" w:rsidR="00ED658C" w:rsidRPr="00CA2381" w:rsidRDefault="00E549D4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Рахметов Есил Шарипбаевич</w:t>
            </w:r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45955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0CC0B5FB" w14:textId="77777777" w:rsidTr="00582835">
        <w:trPr>
          <w:trHeight w:val="24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8334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2121" w14:textId="409EB4C1" w:rsidR="00ED658C" w:rsidRPr="00CA2381" w:rsidRDefault="00E549D4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rahmetov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@mail.ru 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7D484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4AE60E22" w14:textId="77777777" w:rsidTr="00582835">
        <w:trPr>
          <w:trHeight w:val="24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127B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Телефоны: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0A5" w14:textId="013A711B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8701</w:t>
            </w:r>
            <w:r w:rsidR="00E549D4"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2821378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BBC5E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D4" w:rsidRPr="00CA2381" w14:paraId="460E154B" w14:textId="77777777" w:rsidTr="00582835">
        <w:trPr>
          <w:trHeight w:val="24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F9BA" w14:textId="77777777" w:rsidR="00E549D4" w:rsidRPr="00CA2381" w:rsidRDefault="00E549D4" w:rsidP="00E549D4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Ассистент (тер)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A6F" w14:textId="6F46297F" w:rsidR="00E549D4" w:rsidRPr="00CA2381" w:rsidRDefault="00E549D4" w:rsidP="00E549D4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Рахметов Есил Шарипбаевич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15387" w14:textId="77777777" w:rsidR="00E549D4" w:rsidRPr="00CA2381" w:rsidRDefault="00E549D4" w:rsidP="00E5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D4" w:rsidRPr="00CA2381" w14:paraId="53B9DD2C" w14:textId="77777777" w:rsidTr="00582835">
        <w:trPr>
          <w:trHeight w:val="24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C161" w14:textId="77777777" w:rsidR="00E549D4" w:rsidRPr="00CA2381" w:rsidRDefault="00E549D4" w:rsidP="00E549D4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65A1" w14:textId="786D5298" w:rsidR="00E549D4" w:rsidRPr="00CA2381" w:rsidRDefault="00E549D4" w:rsidP="00E549D4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rahmetov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@mail.ru 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D9E97" w14:textId="77777777" w:rsidR="00E549D4" w:rsidRPr="00CA2381" w:rsidRDefault="00E549D4" w:rsidP="00E5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D4" w:rsidRPr="00CA2381" w14:paraId="2C34D3AD" w14:textId="77777777" w:rsidTr="00582835">
        <w:trPr>
          <w:trHeight w:val="24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46B" w14:textId="77777777" w:rsidR="00E549D4" w:rsidRPr="00CA2381" w:rsidRDefault="00E549D4" w:rsidP="00E549D4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Телефоны: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1C6" w14:textId="35AFC8E2" w:rsidR="00E549D4" w:rsidRPr="00CA2381" w:rsidRDefault="00E549D4" w:rsidP="00E549D4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8701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2821378</w:t>
            </w: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F58D" w14:textId="77777777" w:rsidR="00E549D4" w:rsidRPr="00CA2381" w:rsidRDefault="00E549D4" w:rsidP="00E5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27A5CAA0" w14:textId="77777777" w:rsidTr="00582835">
        <w:trPr>
          <w:trHeight w:val="236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01A96932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35525E" w14:textId="77777777" w:rsidR="00ED658C" w:rsidRPr="00CA2381" w:rsidRDefault="00817D6E">
            <w:pPr>
              <w:ind w:left="47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АКАДЕМИЯЛЫҚ ПРЕЗЕНТАЦИЯСЫ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D658C" w:rsidRPr="00CA2381" w14:paraId="2C23ACEB" w14:textId="77777777" w:rsidTr="00582835">
        <w:trPr>
          <w:trHeight w:val="47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F57" w14:textId="77777777" w:rsidR="00ED658C" w:rsidRPr="00CA2381" w:rsidRDefault="00817D6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D76" w14:textId="77777777" w:rsidR="00ED658C" w:rsidRPr="00CA2381" w:rsidRDefault="00817D6E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(ОН)* </w:t>
            </w:r>
          </w:p>
          <w:p w14:paraId="01815BD5" w14:textId="77777777" w:rsidR="00ED658C" w:rsidRPr="00CA2381" w:rsidRDefault="00817D6E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30" w14:textId="77777777" w:rsidR="00ED658C" w:rsidRPr="00CA2381" w:rsidRDefault="0081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</w:tc>
      </w:tr>
      <w:tr w:rsidR="00D65BDF" w:rsidRPr="00CA2381" w14:paraId="1B67B609" w14:textId="77777777" w:rsidTr="00582835">
        <w:trPr>
          <w:trHeight w:val="1210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1AEE" w14:textId="3E0F6F7C" w:rsidR="00D65BDF" w:rsidRPr="00CA2381" w:rsidRDefault="00AC1FC9" w:rsidP="00D65BDF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қоғамдастықта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Курста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инвестициялық-құқықтық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келісімшарттардың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дауларды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зерделенетін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1E29" w14:textId="19FAB696" w:rsidR="00D65BDF" w:rsidRPr="00CA2381" w:rsidRDefault="00D65BDF" w:rsidP="00D65BDF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заңнамасының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F4EB" w14:textId="31676C9B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54913AD7" w14:textId="77777777" w:rsidTr="00582835">
        <w:trPr>
          <w:trHeight w:val="732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F48DD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3F11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7E2" w14:textId="0FA58E68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4785CB91" w14:textId="77777777" w:rsidTr="00582835">
        <w:trPr>
          <w:trHeight w:val="73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B401E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BF6" w14:textId="61B7F92B" w:rsidR="00D65BDF" w:rsidRPr="00CA2381" w:rsidRDefault="00D65BDF" w:rsidP="00D65BDF">
            <w:pPr>
              <w:ind w:left="1" w:righ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қауіпсіздіктің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етудің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F6C5" w14:textId="3907F8AA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ҚР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даму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кезеңдерін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597D8929" w14:textId="77777777" w:rsidTr="00582835">
        <w:trPr>
          <w:trHeight w:val="121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F5802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38DD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51B" w14:textId="72222364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 ҚР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экономикасын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кезеңдеріндегі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142F4987" w14:textId="77777777" w:rsidTr="00582835">
        <w:trPr>
          <w:trHeight w:val="97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3C741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EEE3" w14:textId="138229E4" w:rsidR="00D65BDF" w:rsidRPr="00CA2381" w:rsidRDefault="00D65BDF" w:rsidP="00D65BDF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ҚР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заңнамасын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практикасын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салаларындағы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практикасына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858" w14:textId="2B1ED9AF" w:rsidR="00D65BDF" w:rsidRPr="00CA2381" w:rsidRDefault="00D65BDF" w:rsidP="00D65BDF">
            <w:pPr>
              <w:spacing w:after="38" w:line="250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  <w:proofErr w:type="spellStart"/>
            <w:proofErr w:type="gram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</w:p>
          <w:p w14:paraId="4621A7CD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5BDF" w:rsidRPr="00CA2381" w14:paraId="26F9AE29" w14:textId="77777777" w:rsidTr="00582835">
        <w:trPr>
          <w:trHeight w:val="169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482A7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CDE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F38" w14:textId="5C320E5A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басқарудың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7F7224DB" w14:textId="77777777" w:rsidTr="00582835">
        <w:trPr>
          <w:trHeight w:val="732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11D1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E3B" w14:textId="61B6C391" w:rsidR="00D65BDF" w:rsidRPr="00CA2381" w:rsidRDefault="00D65BDF" w:rsidP="00D65BDF">
            <w:pPr>
              <w:ind w:left="1" w:righ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ақпараттандыру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F6F" w14:textId="71D4B6E6" w:rsidR="00D65BDF" w:rsidRPr="00CA2381" w:rsidRDefault="00D65BDF" w:rsidP="00D65BDF">
            <w:pPr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СЭҚ </w:t>
            </w:r>
          </w:p>
        </w:tc>
      </w:tr>
      <w:tr w:rsidR="00D65BDF" w:rsidRPr="00CA2381" w14:paraId="559669F6" w14:textId="77777777" w:rsidTr="00582835">
        <w:trPr>
          <w:trHeight w:val="732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D61A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76B0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3693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09B53586" w14:textId="77777777" w:rsidTr="00582835">
        <w:trPr>
          <w:trHeight w:val="121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BE3ED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C19A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E3A" w14:textId="3D617E2E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7CF5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қатынастарға</w:t>
            </w:r>
            <w:proofErr w:type="spellEnd"/>
            <w:r w:rsidR="00F77CF5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748C2BD5" w14:textId="77777777" w:rsidTr="00582835">
        <w:trPr>
          <w:trHeight w:val="97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30FFA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96F" w14:textId="1D6E8EFC" w:rsidR="00D65BDF" w:rsidRPr="00CA2381" w:rsidRDefault="00D65BDF" w:rsidP="00D65BDF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үрдістерін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955" w14:textId="1B037963" w:rsidR="00D65BDF" w:rsidRPr="00CA2381" w:rsidRDefault="00D65BDF" w:rsidP="00D65BDF">
            <w:pPr>
              <w:ind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  <w:proofErr w:type="spellStart"/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20039697" w14:textId="77777777" w:rsidTr="00582835">
        <w:trPr>
          <w:trHeight w:val="97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A6EEF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97AC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7AF3" w14:textId="2A12DD8C" w:rsidR="00D65BDF" w:rsidRPr="00CA2381" w:rsidRDefault="00D65BDF" w:rsidP="00D65BDF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329179" w14:textId="77777777" w:rsidR="00D65BDF" w:rsidRPr="00CA2381" w:rsidRDefault="00D65BDF" w:rsidP="00D65BDF">
            <w:pPr>
              <w:ind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қарамақайшылықтарды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110EC2A8" w14:textId="77777777" w:rsidTr="00582835">
        <w:trPr>
          <w:trHeight w:val="730"/>
        </w:trPr>
        <w:tc>
          <w:tcPr>
            <w:tcW w:w="2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B35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2D9D" w14:textId="77777777" w:rsidR="00D65BDF" w:rsidRPr="00CA2381" w:rsidRDefault="00D65BDF" w:rsidP="00D65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C650" w14:textId="7CAFB114" w:rsidR="00D65BDF" w:rsidRPr="00CA2381" w:rsidRDefault="00D65BDF" w:rsidP="00D65BDF">
            <w:pPr>
              <w:ind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 </w:t>
            </w:r>
            <w:r w:rsidR="00AB3982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мақалалар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65BDF" w:rsidRPr="00CA2381" w14:paraId="70BF261A" w14:textId="77777777" w:rsidTr="00582835">
        <w:trPr>
          <w:trHeight w:val="47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6777" w14:textId="77777777" w:rsidR="00D65BDF" w:rsidRPr="00CA2381" w:rsidRDefault="00D65BDF" w:rsidP="00D65BDF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4887" w14:textId="4F012DD4" w:rsidR="00D65BDF" w:rsidRPr="00CA2381" w:rsidRDefault="00436C5D" w:rsidP="00D65BDF">
            <w:pPr>
              <w:ind w:left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>А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PRK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>1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22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>1 ҚР Әкімшілік құқығы, Т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PRK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 xml:space="preserve">2217 ҚР Кеден құқығы, Кеден ісін ұйымдастыру 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OTD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>1201</w:t>
            </w:r>
          </w:p>
        </w:tc>
      </w:tr>
      <w:tr w:rsidR="00D65BDF" w:rsidRPr="00CA2381" w14:paraId="4D267E30" w14:textId="77777777" w:rsidTr="00582835">
        <w:trPr>
          <w:trHeight w:val="47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A316" w14:textId="77777777" w:rsidR="00D65BDF" w:rsidRPr="00CA2381" w:rsidRDefault="00D65BDF" w:rsidP="00D65BDF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5B4" w14:textId="0E1332B6" w:rsidR="00D65BDF" w:rsidRPr="00CA2381" w:rsidRDefault="00436C5D" w:rsidP="00D65BDF">
            <w:pPr>
              <w:ind w:left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kk-KZ"/>
                <w14:ligatures w14:val="none"/>
              </w:rPr>
              <w:t>KPRK 1107 Қазақстан Республикасының Конституциялық құқығы.APRK 1108 Қазақстан Республикасының әкімшілік құқығы.KMPRKB 1212 Кибер қауіпсіздікті құқықтық реттеудің концептуалды әдістері</w:t>
            </w:r>
          </w:p>
        </w:tc>
      </w:tr>
      <w:tr w:rsidR="00D65BDF" w:rsidRPr="00CA2381" w14:paraId="1EF1321F" w14:textId="77777777" w:rsidTr="00582835">
        <w:trPr>
          <w:trHeight w:val="47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8F7A" w14:textId="46C68E94" w:rsidR="00D65BDF" w:rsidRPr="00CA2381" w:rsidRDefault="00D65BDF" w:rsidP="00D65BDF">
            <w:pPr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DAEB" w14:textId="4A52FACA" w:rsidR="00F77CF5" w:rsidRPr="00CA2381" w:rsidRDefault="00D65BDF" w:rsidP="00F77CF5">
            <w:pPr>
              <w:spacing w:after="21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  <w:p w14:paraId="555F46E1" w14:textId="77777777" w:rsidR="00F77CF5" w:rsidRPr="00CA2381" w:rsidRDefault="00F77CF5" w:rsidP="00F77CF5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47647190" w14:textId="77777777" w:rsidR="00443658" w:rsidRPr="00CA2381" w:rsidRDefault="00443658" w:rsidP="0044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Қожабек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Қ.М. 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: учебное пособие для вузов— ISBN 978-5-534-16782-5. —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Образовательная платформа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[сайт]. — URL: https://urait.ru/bcode/531692</w:t>
            </w:r>
          </w:p>
          <w:p w14:paraId="73657D79" w14:textId="77777777" w:rsidR="00443658" w:rsidRPr="00CA2381" w:rsidRDefault="00443658" w:rsidP="0044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2. Таможенное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право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[Бакаева О. Ю.,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Лайченкова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Н. Н., Литвинова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Ю.М.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] ;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отв. ред. О. Ю. Бакаева. – 3-е издание, переработанное и дополненное. –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Норма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2020. – 591 с. – ISBN 978-5-91768-641-7 (Норма). – ISBN 978-5-16-015104-5 (Инфра-М). – То же электрон. версия на сайте URL: https://znanium.com/catalog/product/1044715</w:t>
            </w:r>
          </w:p>
          <w:p w14:paraId="178B74D5" w14:textId="77777777" w:rsidR="00443658" w:rsidRPr="00CA2381" w:rsidRDefault="00443658" w:rsidP="0044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3. Чернявский А.Г. Таможенное право. Учебник. – Москва: Издательство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Кнорус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, 2021 ж., 586 бет.</w:t>
            </w:r>
          </w:p>
          <w:p w14:paraId="5C0DDC2E" w14:textId="77777777" w:rsidR="00443658" w:rsidRPr="00CA2381" w:rsidRDefault="00443658" w:rsidP="0044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Алибеков С.Т. Таможенное право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в  Республике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Казахстан. Учебник - Электрон. -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Алматы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КазУМО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и МЯ, 2014г.</w:t>
            </w:r>
          </w:p>
          <w:p w14:paraId="1AC4B185" w14:textId="77777777" w:rsidR="00443658" w:rsidRPr="00CA2381" w:rsidRDefault="00443658" w:rsidP="0044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5. Новикова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Таможенное дело и таможенное регулирование в ЕАЭС. Учебник для вузов. – Москва: Издательство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, 2023 г., 376 стр.</w:t>
            </w:r>
          </w:p>
          <w:p w14:paraId="25B735E3" w14:textId="77777777" w:rsidR="001E1E2E" w:rsidRPr="00CA2381" w:rsidRDefault="00443658" w:rsidP="001E1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Қосымша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F77CF5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Мароз</w:t>
            </w:r>
            <w:proofErr w:type="spellEnd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С.П. </w:t>
            </w:r>
            <w:proofErr w:type="spellStart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: Общая часть: учебное пособие. – Алматы: </w:t>
            </w:r>
            <w:proofErr w:type="spellStart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="001E1E2E" w:rsidRPr="00CA2381">
              <w:rPr>
                <w:rFonts w:ascii="Times New Roman" w:hAnsi="Times New Roman" w:cs="Times New Roman"/>
                <w:sz w:val="20"/>
                <w:szCs w:val="20"/>
              </w:rPr>
              <w:t>, 2015 г., 248 стр.</w:t>
            </w:r>
          </w:p>
          <w:p w14:paraId="009B12F2" w14:textId="77777777" w:rsidR="001E1E2E" w:rsidRPr="00CA2381" w:rsidRDefault="001E1E2E" w:rsidP="001E1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2. Таможенное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право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О. А.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Нартуева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, А. Г.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Тышкенова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. — Улан-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Удэ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БГУ, 2021 ж., 136 бет.</w:t>
            </w:r>
          </w:p>
          <w:p w14:paraId="58327A58" w14:textId="77777777" w:rsidR="001E1E2E" w:rsidRPr="00CA2381" w:rsidRDefault="001E1E2E" w:rsidP="001E1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3. Таможенное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право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вузов / Н. Д.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Эриашвили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, И.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М.Рассолов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, С. Н. Бочаров, В. Б.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Мантусов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; под ред. Н. Д.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Эриашвили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. – 6-е изд.,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и доп. – </w:t>
            </w:r>
            <w:proofErr w:type="gram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ЮНИТИ-ДАНА, 2018. – 303 с. – (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Dura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lex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sed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lex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). – ISBN 978-5-238-02703-6. – То же электрон. версия на сайте URL:</w:t>
            </w:r>
          </w:p>
          <w:p w14:paraId="341D25BA" w14:textId="5C51AF1B" w:rsidR="00443658" w:rsidRPr="00CA2381" w:rsidRDefault="001E1E2E" w:rsidP="001E1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https://biblioclub.ru/index.php?page=book&amp;id=42667</w:t>
            </w:r>
          </w:p>
          <w:p w14:paraId="35DD071A" w14:textId="52C03E26" w:rsidR="00F77CF5" w:rsidRPr="00CA2381" w:rsidRDefault="00F77CF5" w:rsidP="00F77CF5">
            <w:pPr>
              <w:spacing w:line="27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Интернет-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663E98" w14:textId="77777777" w:rsidR="00F77CF5" w:rsidRPr="00CA2381" w:rsidRDefault="00F77CF5" w:rsidP="00F77CF5">
            <w:pPr>
              <w:numPr>
                <w:ilvl w:val="0"/>
                <w:numId w:val="7"/>
              </w:numPr>
              <w:spacing w:after="8"/>
              <w:ind w:left="203" w:hanging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http://elibrary.kaznu.kz/ru  </w:t>
            </w:r>
          </w:p>
          <w:p w14:paraId="1C7C385E" w14:textId="77777777" w:rsidR="00F77CF5" w:rsidRPr="00CA2381" w:rsidRDefault="00F77CF5" w:rsidP="00F77CF5">
            <w:pPr>
              <w:numPr>
                <w:ilvl w:val="0"/>
                <w:numId w:val="7"/>
              </w:numPr>
              <w:ind w:left="203" w:hanging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https://adilet.zan.kz/kaz/ </w:t>
            </w:r>
          </w:p>
          <w:p w14:paraId="38653D66" w14:textId="4CDA6086" w:rsidR="00D65BDF" w:rsidRPr="00CA2381" w:rsidRDefault="00D65BDF" w:rsidP="00D65BDF">
            <w:pPr>
              <w:ind w:left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5BDF" w:rsidRPr="00CA2381" w14:paraId="34EB3AA4" w14:textId="77777777" w:rsidTr="00582835">
        <w:trPr>
          <w:trHeight w:val="6937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4C2" w14:textId="78E3AE1B" w:rsidR="00D65BDF" w:rsidRPr="00CA2381" w:rsidRDefault="00D65BDF" w:rsidP="00D65BDF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BD96" w14:textId="77777777" w:rsidR="00D65BDF" w:rsidRPr="00CA2381" w:rsidRDefault="00D65BDF" w:rsidP="00D65BDF">
            <w:pPr>
              <w:spacing w:after="3" w:line="278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-Фараби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атындағы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ҚазҰУ-дың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саясатымен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Саясатымен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айқындалады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14:paraId="6C1E105C" w14:textId="77777777" w:rsidR="00D65BDF" w:rsidRPr="00CA2381" w:rsidRDefault="00D65BDF" w:rsidP="00D65BDF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Univer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ИЖ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қолжетімді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586696C7" w14:textId="77777777" w:rsidR="00D65BDF" w:rsidRPr="00CA2381" w:rsidRDefault="00D65BDF" w:rsidP="00D65BDF">
            <w:pPr>
              <w:spacing w:after="9" w:line="271" w:lineRule="auto"/>
              <w:ind w:left="3"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Ғылым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интеграциясы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Студенттердің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магистранттардың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докторанттардың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тереңдетілуі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Ол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кафедраларда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жобалау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бөлімшелерінде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ғылыми-техникалық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бірлестіктерінде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деңгейлеріндегі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оқытушысы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силлабустарда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табатын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өзектілігіне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ОБӨЗ, БӨЗ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біріктіреді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2B325C9" w14:textId="77777777" w:rsidR="00D65BDF" w:rsidRPr="00CA2381" w:rsidRDefault="00D65BDF" w:rsidP="00D65BDF">
            <w:pPr>
              <w:spacing w:after="1" w:line="280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Сабаққа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Мерзімдерді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баллдардың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DBD7386" w14:textId="77777777" w:rsidR="00D65BDF" w:rsidRPr="00CA2381" w:rsidRDefault="00D65BDF" w:rsidP="00D65BDF">
            <w:pPr>
              <w:spacing w:line="256" w:lineRule="auto"/>
              <w:ind w:left="3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БӨЖ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дербестігін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шығармашылығын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Плагиат,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жалғандық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шпаргалка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кезеңдерінде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адалдықты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саясаттардан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жылының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көктемгі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Нұсқаулықтары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тестілік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көшіріліп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алынуын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тәрізді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регламенттеледі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805BDE9" w14:textId="77777777" w:rsidR="00D65BDF" w:rsidRPr="00CA2381" w:rsidRDefault="00D65BDF" w:rsidP="00D65BDF">
            <w:pPr>
              <w:spacing w:after="13" w:line="266" w:lineRule="auto"/>
              <w:ind w:left="3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Инклюзивті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принциптері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гендерлік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нәсілдік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этникалық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діни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сенімдеріне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әлеуметтік-экономикалық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денсаулығына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қарамастан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тарапынан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әрқашан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курстастарының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достығына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мұқтаж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жетістікке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нәрселерден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гөрі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алатындығы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1F537282" w14:textId="77777777" w:rsidR="00D65BDF" w:rsidRPr="00CA2381" w:rsidRDefault="00D65BDF" w:rsidP="00D65BDF">
            <w:pPr>
              <w:spacing w:after="11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өмірдің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күшейтеді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5F5C970D" w14:textId="078F7699" w:rsidR="00D65BDF" w:rsidRPr="00CA2381" w:rsidRDefault="00D65BDF" w:rsidP="00D65BDF">
            <w:pPr>
              <w:spacing w:after="16" w:line="243" w:lineRule="auto"/>
              <w:ind w:left="3"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әсіресе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, телефон 87784272744 /e-</w:t>
            </w:r>
            <w:r w:rsidR="00AC1FC9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1FC9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  <w:proofErr w:type="spellStart"/>
            <w:r w:rsidR="00F41B36"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rahmetov</w:t>
            </w:r>
            <w:proofErr w:type="spellEnd"/>
            <w:r w:rsidR="00F41B36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@mail.ru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https://us04web.zoom.us/j/4175819644?pwd=UWFtS0hicFVick5vaE5WSy83WUVxZz09             https://teams.live.com/l/invite/FEAOhRY5m0bHxAnbQE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E1BC5E7" w14:textId="77777777" w:rsidR="00D65BDF" w:rsidRPr="00CA2381" w:rsidRDefault="00D65BDF" w:rsidP="00D65BDF">
            <w:pPr>
              <w:spacing w:after="4" w:line="274" w:lineRule="auto"/>
              <w:ind w:left="3" w:right="10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интеграциясы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course). MOOC-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интеграциялануы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MOOC-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MOOC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модульдерінің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49A4089D" w14:textId="0A843C9C" w:rsidR="00D65BDF" w:rsidRPr="00CA2381" w:rsidRDefault="00D65BDF" w:rsidP="00D65BDF">
            <w:pPr>
              <w:numPr>
                <w:ilvl w:val="0"/>
                <w:numId w:val="4"/>
              </w:numPr>
              <w:ind w:hanging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Назар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салыңыз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MOOC-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Мерзімдерді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баллдардың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</w:tbl>
    <w:tbl>
      <w:tblPr>
        <w:tblStyle w:val="TableGrid"/>
        <w:tblpPr w:leftFromText="180" w:rightFromText="180" w:vertAnchor="text" w:tblpX="-431" w:tblpY="-678"/>
        <w:tblW w:w="10065" w:type="dxa"/>
        <w:tblInd w:w="0" w:type="dxa"/>
        <w:tblCellMar>
          <w:top w:w="2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988"/>
        <w:gridCol w:w="7317"/>
        <w:gridCol w:w="896"/>
        <w:gridCol w:w="864"/>
      </w:tblGrid>
      <w:tr w:rsidR="00160290" w:rsidRPr="00CA2381" w14:paraId="69A89DE6" w14:textId="77777777" w:rsidTr="00AC1FC9">
        <w:trPr>
          <w:trHeight w:val="4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5D0F" w14:textId="77777777" w:rsidR="00160290" w:rsidRPr="00CA2381" w:rsidRDefault="00160290" w:rsidP="00AC1FC9">
            <w:pPr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Апта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D900" w14:textId="77777777" w:rsidR="00160290" w:rsidRPr="00CA2381" w:rsidRDefault="00160290" w:rsidP="00AC1FC9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298" w14:textId="77777777" w:rsidR="00160290" w:rsidRPr="00CA2381" w:rsidRDefault="00160290" w:rsidP="00AC1FC9">
            <w:pPr>
              <w:ind w:left="22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088" w14:textId="77777777" w:rsidR="00160290" w:rsidRPr="00CA2381" w:rsidRDefault="00160290" w:rsidP="00AC1FC9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Макс. балл*** </w:t>
            </w:r>
          </w:p>
        </w:tc>
      </w:tr>
      <w:tr w:rsidR="00160290" w:rsidRPr="00CA2381" w14:paraId="03F0360A" w14:textId="77777777" w:rsidTr="00AC1FC9">
        <w:trPr>
          <w:trHeight w:val="2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E815C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75631E" w14:textId="7695C447" w:rsidR="00160290" w:rsidRPr="00CA2381" w:rsidRDefault="00160290" w:rsidP="00AC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Инвестициялық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құқықтың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теориялық-ұғымдық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82E53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5D104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2FFCB164" w14:textId="77777777" w:rsidTr="00AC1FC9">
        <w:trPr>
          <w:trHeight w:val="397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C35C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347893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80EB" w14:textId="758CB4E4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объектісі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3E6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7A8F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3F88AF48" w14:textId="77777777" w:rsidTr="00AC1FC9">
        <w:trPr>
          <w:trHeight w:val="457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2378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9C6" w14:textId="32049135" w:rsidR="00160290" w:rsidRPr="00CA2381" w:rsidRDefault="00160290" w:rsidP="00D42CA9">
            <w:pPr>
              <w:ind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</w:t>
            </w:r>
            <w:r w:rsidR="00D42CA9"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Инвестиция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ұғымы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экономикалық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9033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C441" w14:textId="04C1378A" w:rsidR="00160290" w:rsidRPr="00CA2381" w:rsidRDefault="00AC1FC9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160290" w:rsidRPr="00CA2381" w14:paraId="65933CB3" w14:textId="77777777" w:rsidTr="00AC1FC9">
        <w:trPr>
          <w:trHeight w:val="25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2370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916810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8B3" w14:textId="77777777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 2.   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ғылымдағы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A187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A476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377BBC5C" w14:textId="77777777" w:rsidTr="00AC1FC9">
        <w:trPr>
          <w:trHeight w:val="487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C865A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70B" w14:textId="4D57D4FA" w:rsidR="00160290" w:rsidRPr="00CA2381" w:rsidRDefault="00160290" w:rsidP="00D42CA9">
            <w:pPr>
              <w:ind w:right="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 2.</w:t>
            </w:r>
            <w:r w:rsidRPr="00CA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салаларымен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арақатынасы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CD80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6C6F" w14:textId="037C4ADB" w:rsidR="00160290" w:rsidRPr="00CA2381" w:rsidRDefault="00AC1FC9" w:rsidP="00AC1FC9">
            <w:pPr>
              <w:ind w:righ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60290" w:rsidRPr="00CA2381" w14:paraId="430EEEA6" w14:textId="77777777" w:rsidTr="00AC1FC9">
        <w:trPr>
          <w:trHeight w:val="25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EDB1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1BB" w14:textId="3E73C16A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ӨЖ 1. 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1 МӨЖ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FC7" w14:textId="77777777" w:rsidR="00160290" w:rsidRPr="00CA2381" w:rsidRDefault="00160290" w:rsidP="00AC1FC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BA7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0290" w:rsidRPr="00CA2381" w14:paraId="1130B944" w14:textId="77777777" w:rsidTr="00AC1FC9">
        <w:trPr>
          <w:trHeight w:val="25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D00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59128B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4B85" w14:textId="74436AE7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 3.</w:t>
            </w:r>
            <w:r w:rsidR="00D42CA9"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реттеудің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тарихи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эволюциясы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EBCE" w14:textId="52505CFE" w:rsidR="00160290" w:rsidRPr="00CA2381" w:rsidRDefault="00AC1FC9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2A69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541B9C82" w14:textId="77777777" w:rsidTr="00AC1FC9">
        <w:trPr>
          <w:trHeight w:val="308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0253F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4ED" w14:textId="6CFA5FBC" w:rsidR="00160290" w:rsidRPr="00CA2381" w:rsidRDefault="00160290" w:rsidP="00D42CA9">
            <w:pPr>
              <w:ind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заңнаманың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қалыптасу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кезеңдері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0F96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AB2" w14:textId="700C6745" w:rsidR="00160290" w:rsidRPr="00CA2381" w:rsidRDefault="00AC1FC9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160290" w:rsidRPr="00CA2381" w14:paraId="7E6DD899" w14:textId="77777777" w:rsidTr="00AC1FC9">
        <w:trPr>
          <w:trHeight w:val="25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0C01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67F8" w14:textId="68323915" w:rsidR="00160290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 1.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қорғау.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ақырыбы: </w:t>
            </w:r>
            <w:r w:rsidR="00160290" w:rsidRPr="004732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Инвестициялық қызметтің субъектілері: мемлекет пен жеке инвестордың құқықтық мәртебесін салыстырмалы талдау.</w:t>
            </w:r>
            <w:r w:rsidR="00160290"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жасау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қорғау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5441" w14:textId="77777777" w:rsidR="00160290" w:rsidRPr="00CA2381" w:rsidRDefault="00160290" w:rsidP="00AC1FC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68A" w14:textId="77777777" w:rsidR="00160290" w:rsidRPr="00CA2381" w:rsidRDefault="00160290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0290" w:rsidRPr="00CA2381" w14:paraId="2842CFC1" w14:textId="77777777" w:rsidTr="00AC1FC9">
        <w:trPr>
          <w:trHeight w:val="25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55D3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B85D63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81B9" w14:textId="5C379B44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инвесторлар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ұйымдар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91E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59B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0290" w:rsidRPr="00CA2381" w14:paraId="60D45FEB" w14:textId="77777777" w:rsidTr="00AC1FC9">
        <w:trPr>
          <w:trHeight w:val="43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EDCA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2D96" w14:textId="77777777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4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Инвесторлардың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кепілдіктері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86BE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A27" w14:textId="26E2AA98" w:rsidR="00160290" w:rsidRPr="00CA2381" w:rsidRDefault="00AC1FC9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160290" w:rsidRPr="00CA2381" w14:paraId="53C3F4BD" w14:textId="77777777" w:rsidTr="00AC1FC9">
        <w:trPr>
          <w:trHeight w:val="25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DD6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3C9C10F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3FE0" w14:textId="5C4C762A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регламенттелуі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600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C122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48D5EDB8" w14:textId="77777777" w:rsidTr="00AC1FC9">
        <w:trPr>
          <w:trHeight w:val="629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EA21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BAF3" w14:textId="77777777" w:rsidR="00160290" w:rsidRPr="00CA2381" w:rsidRDefault="00160290" w:rsidP="00D42CA9">
            <w:pPr>
              <w:ind w:right="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5.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портфельдік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B046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6FE2" w14:textId="60B74BAE" w:rsidR="00160290" w:rsidRPr="00CA2381" w:rsidRDefault="00AC1FC9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160290" w:rsidRPr="00CA2381" w14:paraId="7BC78E09" w14:textId="77777777" w:rsidTr="00AC1FC9">
        <w:trPr>
          <w:trHeight w:val="629"/>
        </w:trPr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04B7" w14:textId="497A1CE0" w:rsidR="00160290" w:rsidRPr="00CA2381" w:rsidRDefault="00160290" w:rsidP="00D42CA9">
            <w:pPr>
              <w:ind w:right="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халықаралық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инвестициялық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құқық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дауларды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шешу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қорғау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тетіктері</w:t>
            </w:r>
            <w:proofErr w:type="spellEnd"/>
            <w:r w:rsidR="0088388F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60290" w:rsidRPr="00CA2381" w14:paraId="47C30153" w14:textId="77777777" w:rsidTr="00AC1FC9">
        <w:trPr>
          <w:trHeight w:val="25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D83A9" w14:textId="77777777" w:rsidR="00160290" w:rsidRPr="00CA2381" w:rsidRDefault="00160290" w:rsidP="00AC1FC9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80BFBC" w14:textId="77777777" w:rsidR="00160290" w:rsidRPr="00CA2381" w:rsidRDefault="00160290" w:rsidP="00AC1FC9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B3A" w14:textId="7C5E09C3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Республикасындағы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заңнаманың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қағидаттары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1AB2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459" w14:textId="77777777" w:rsidR="00160290" w:rsidRPr="00CA2381" w:rsidRDefault="00160290" w:rsidP="00AC1FC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46B1334B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6A293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9793" w14:textId="77777777" w:rsidR="00160290" w:rsidRPr="00CA2381" w:rsidRDefault="00160290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6.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» ҚР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Заңының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ғылыми-құқықтық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талдауы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8C2" w14:textId="77777777" w:rsidR="00160290" w:rsidRPr="00CA2381" w:rsidRDefault="00160290" w:rsidP="00AC1FC9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298" w14:textId="72DF3078" w:rsidR="00160290" w:rsidRPr="00CA2381" w:rsidRDefault="00AC1FC9" w:rsidP="00AC1FC9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160290" w:rsidRPr="00CA2381" w14:paraId="05168EA7" w14:textId="77777777" w:rsidTr="00AC1FC9">
        <w:trPr>
          <w:trHeight w:val="302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9AAAD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56DEF" w14:textId="5B2A73EF" w:rsidR="00160290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ОӨЖ 2.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 2</w:t>
            </w:r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="00160290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767C7" w14:textId="0EED4926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2418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7F78155B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666CE4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4BE9" w14:textId="77777777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Д 7.</w:t>
            </w: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Инвестициялық дауларды шешудің ұлттық тетіктері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DE66" w14:textId="538123B4" w:rsidR="00160290" w:rsidRPr="00CA2381" w:rsidRDefault="00AC1FC9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9DBD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0290" w:rsidRPr="00CA2381" w14:paraId="2373A3ED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FA8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393" w14:textId="77777777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СС 7.</w:t>
            </w: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Сот және төрелік арқылы инвестициялық дауларды шешу тәжірибесі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C8D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C126" w14:textId="775358C3" w:rsidR="00160290" w:rsidRPr="00CA2381" w:rsidRDefault="00AC1FC9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D42CA9" w:rsidRPr="00CA2381" w14:paraId="5908B084" w14:textId="77777777" w:rsidTr="00752DFC">
        <w:trPr>
          <w:trHeight w:val="69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647BC3" w14:textId="3D72E058" w:rsidR="00D42CA9" w:rsidRPr="00CA2381" w:rsidRDefault="00D42CA9" w:rsidP="0075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20C" w14:textId="69C4D030" w:rsidR="00D42CA9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 2.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қорғау.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32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ұйымдардың инвестициялық қызметтегі рөлі мен құқықтық орны.</w:t>
            </w:r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Презентация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03B" w14:textId="77777777" w:rsidR="00D42CA9" w:rsidRPr="00CA2381" w:rsidRDefault="00D42CA9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AA86" w14:textId="77777777" w:rsidR="00D42CA9" w:rsidRPr="00CA2381" w:rsidRDefault="00D42CA9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D42CA9" w:rsidRPr="00CA2381" w14:paraId="6B6F0C22" w14:textId="77777777" w:rsidTr="00752DFC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8AFFD" w14:textId="4E556790" w:rsidR="00D42CA9" w:rsidRPr="00CA2381" w:rsidRDefault="00D42CA9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564C" w14:textId="3EA97C3F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ұғымы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9633" w14:textId="77777777" w:rsidR="00D42CA9" w:rsidRPr="00CA2381" w:rsidRDefault="00D42CA9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EE48" w14:textId="77777777" w:rsidR="00D42CA9" w:rsidRPr="00CA2381" w:rsidRDefault="00D42CA9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2CA9" w:rsidRPr="00CA2381" w14:paraId="06064098" w14:textId="77777777" w:rsidTr="00752DFC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53C" w14:textId="77777777" w:rsidR="00D42CA9" w:rsidRPr="00CA2381" w:rsidRDefault="00D42CA9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64" w14:textId="77777777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8.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FF1" w14:textId="77777777" w:rsidR="00D42CA9" w:rsidRPr="00CA2381" w:rsidRDefault="00D42CA9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E782" w14:textId="1D65A5FF" w:rsidR="00D42CA9" w:rsidRPr="00CA2381" w:rsidRDefault="00D42CA9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160290" w:rsidRPr="00CA2381" w14:paraId="603B5728" w14:textId="77777777" w:rsidTr="00AC1FC9">
        <w:trPr>
          <w:trHeight w:val="252"/>
        </w:trPr>
        <w:tc>
          <w:tcPr>
            <w:tcW w:w="8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BCF1" w14:textId="79CFE2A2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ралық бақылау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4C75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55B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60290" w:rsidRPr="00CA2381" w14:paraId="078323EE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8B9516" w14:textId="77777777" w:rsidR="00160290" w:rsidRPr="00CA2381" w:rsidRDefault="00160290" w:rsidP="00AC1FC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E35AFE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844" w14:textId="071040DA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арбитраж: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AFB2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4C4D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056F4138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1E6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67C" w14:textId="77777777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9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ICSID, UNCITRAL, ICC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арбитраждарының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BC66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5784" w14:textId="00D38D01" w:rsidR="00160290" w:rsidRPr="00CA2381" w:rsidRDefault="00D42CA9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160290" w:rsidRPr="00CA2381" w14:paraId="228A9C4B" w14:textId="77777777" w:rsidTr="00AC1FC9">
        <w:trPr>
          <w:trHeight w:val="25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1CA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ECF" w14:textId="0C9EE4FA" w:rsidR="00160290" w:rsidRPr="00CA2381" w:rsidRDefault="00D42CA9" w:rsidP="009959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ОӨЖ 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160290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9590D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9590D"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90D" w:rsidRPr="00CA2381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шарттар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қағидаттары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заңнамасымен</w:t>
            </w:r>
            <w:proofErr w:type="spellEnd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90D" w:rsidRPr="0099590D">
              <w:rPr>
                <w:rFonts w:ascii="Times New Roman" w:hAnsi="Times New Roman" w:cs="Times New Roman"/>
                <w:sz w:val="20"/>
                <w:szCs w:val="20"/>
              </w:rPr>
              <w:t>арақатынасы</w:t>
            </w:r>
            <w:proofErr w:type="spellEnd"/>
            <w:r w:rsidR="0099590D"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талдау жасау және кеңес беру.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7F87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046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290" w:rsidRPr="00CA2381" w14:paraId="583BF9B9" w14:textId="77777777" w:rsidTr="00AC1FC9">
        <w:trPr>
          <w:trHeight w:val="252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B13" w14:textId="46672757" w:rsidR="00160290" w:rsidRPr="00CA2381" w:rsidRDefault="00160290" w:rsidP="00D42CA9">
            <w:pPr>
              <w:ind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</w:p>
        </w:tc>
      </w:tr>
      <w:tr w:rsidR="00160290" w:rsidRPr="00CA2381" w14:paraId="69234359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E81589" w14:textId="77777777" w:rsidR="00160290" w:rsidRPr="00CA2381" w:rsidRDefault="00160290" w:rsidP="00AC1FC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8EEEC0" w14:textId="77777777" w:rsidR="00160290" w:rsidRPr="00CA2381" w:rsidRDefault="00160290" w:rsidP="00AC1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2E9D" w14:textId="15949502" w:rsidR="00160290" w:rsidRPr="00CA2381" w:rsidRDefault="00160290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2CA9"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мемлекеттердің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егемендігі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мүдде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мәселесі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2854" w14:textId="77777777" w:rsidR="00160290" w:rsidRPr="00CA2381" w:rsidRDefault="00160290" w:rsidP="00AC1FC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22EA" w14:textId="77777777" w:rsidR="00160290" w:rsidRPr="00CA2381" w:rsidRDefault="00160290" w:rsidP="00AC1FC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77427B90" w14:textId="77777777" w:rsidTr="00AC1FC9">
        <w:trPr>
          <w:trHeight w:val="25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0FE81B" w14:textId="77777777" w:rsidR="00D42CA9" w:rsidRPr="00CA2381" w:rsidRDefault="00D42CA9" w:rsidP="00D42CA9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629" w14:textId="6D1F4999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СС 10.</w:t>
            </w:r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егемендігі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мүдденің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қорғаумен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арақатынасы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теория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CA9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7E9" w14:textId="3F6EEBC1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525" w14:textId="1D5716F1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42CA9" w:rsidRPr="00CA2381" w14:paraId="5612D3C5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8D18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A70" w14:textId="2327EC7D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ОӨЖ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ӨЖ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D7C9" w14:textId="29BD5246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F7B" w14:textId="25D2F993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2CA9" w:rsidRPr="00CA2381" w14:paraId="525EB418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D73DA7" w14:textId="77777777" w:rsidR="00D42CA9" w:rsidRPr="00CA2381" w:rsidRDefault="00D42CA9" w:rsidP="00D42CA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64F50D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535" w14:textId="00252ED8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Шетелдік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кепілдіктер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1CC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3C8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1E0BCA1B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10D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B84" w14:textId="2D82C207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11</w:t>
            </w: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тәуекелдер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жолдары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ED8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0C7" w14:textId="2C492E7C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42CA9" w:rsidRPr="00CA2381" w14:paraId="081B8A4D" w14:textId="77777777" w:rsidTr="00AC1FC9">
        <w:trPr>
          <w:trHeight w:val="25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25E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21B4" w14:textId="4C6FFF5D" w:rsidR="00D42CA9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 3.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қорғау. Тақырыбы:</w:t>
            </w:r>
            <w:r w:rsidRPr="004732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заңнамасындағы инвесторлардың құқықтары мен кепілдіктері: теория және практика.</w:t>
            </w:r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Презентация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E344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5854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D42CA9" w:rsidRPr="00CA2381" w14:paraId="42492F1A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956226" w14:textId="77777777" w:rsidR="00D42CA9" w:rsidRPr="00CA2381" w:rsidRDefault="00D42CA9" w:rsidP="00D42CA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E30BCB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93C" w14:textId="77777777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 12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Трансұлттық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корпорациялар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3825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C9DF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234E6765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00A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2478" w14:textId="02619B3A" w:rsidR="00D42CA9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12.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ТҰК-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мемлекеттермен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қарым-қатынасының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аспектілері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F8F2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1E3A" w14:textId="0E89184D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42CA9" w:rsidRPr="00CA2381" w14:paraId="24886798" w14:textId="77777777" w:rsidTr="00AC1FC9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CBE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B0B4" w14:textId="37366CF8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ОӨЖ 5. 4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орындау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кеңестер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E67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640F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2CA9" w:rsidRPr="00CA2381" w14:paraId="3D369733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FB0B63" w14:textId="77777777" w:rsidR="00D42CA9" w:rsidRPr="00CA2381" w:rsidRDefault="00D42CA9" w:rsidP="00D42CA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F08E48" w14:textId="77777777" w:rsidR="00D42CA9" w:rsidRPr="00CA2381" w:rsidRDefault="00D42CA9" w:rsidP="00D42CA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8F5EA3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  <w:p w14:paraId="1E2E5E12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9D9F" w14:textId="7EF494E7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климатты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C8BC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A466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678DD05E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35791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FEE" w14:textId="08015A7B" w:rsidR="00D42CA9" w:rsidRPr="00CA2381" w:rsidRDefault="00D42CA9" w:rsidP="00D42CA9">
            <w:pPr>
              <w:spacing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13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құралдары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салықтық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кедендік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жеңілдіктер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кепілдіктер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3074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A550" w14:textId="3C75FFDD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42CA9" w:rsidRPr="00CA2381" w14:paraId="3E430F42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BFA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207" w14:textId="7FD53E75" w:rsidR="00D42CA9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ӨЖ 4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32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 пен инвестор арасындағы құқықтық қатынастардың ерекшеліктері.</w:t>
            </w:r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83FC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249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2CA9" w:rsidRPr="00CA2381" w14:paraId="4BD21C59" w14:textId="77777777" w:rsidTr="00AC1FC9">
        <w:trPr>
          <w:trHeight w:val="25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AD30AB" w14:textId="77777777" w:rsidR="00D42CA9" w:rsidRPr="00CA2381" w:rsidRDefault="00D42CA9" w:rsidP="00D42CA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30D3DB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748" w14:textId="36F8DE33" w:rsidR="00D42CA9" w:rsidRPr="00CA2381" w:rsidRDefault="00D42CA9" w:rsidP="00D42C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сын-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қатерлер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цифрландыру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жасыл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тұрақты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даму)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9197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CAF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1EAC31ED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653B4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0445" w14:textId="77777777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14.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Жасыл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экономика» мен ESG-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инвестициялардың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A9C7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18D" w14:textId="15E59C7A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42CA9" w:rsidRPr="00CA2381" w14:paraId="4B223470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150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716" w14:textId="0471293E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теориясының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болашағы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дамуының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тенденциялары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CB4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6CF1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7F86A172" w14:textId="77777777" w:rsidTr="00AC1FC9">
        <w:trPr>
          <w:trHeight w:val="252"/>
        </w:trPr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BAC408" w14:textId="56E953D9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3E93" w14:textId="00238E5E" w:rsidR="00D42CA9" w:rsidRPr="00CA2381" w:rsidRDefault="00D42CA9" w:rsidP="00D42CA9">
            <w:pPr>
              <w:ind w:right="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 15</w:t>
            </w:r>
            <w:r w:rsidRPr="00CA23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реформаларының</w:t>
            </w:r>
            <w:proofErr w:type="spellEnd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42F">
              <w:rPr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54CF" w14:textId="24B0A9F9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6703" w14:textId="28756B08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D42CA9" w:rsidRPr="00CA2381" w14:paraId="25FD6926" w14:textId="77777777" w:rsidTr="00AC1FC9">
        <w:trPr>
          <w:trHeight w:val="252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421C" w14:textId="77777777" w:rsidR="00D42CA9" w:rsidRPr="00CA2381" w:rsidRDefault="00D42CA9" w:rsidP="00D42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91E" w14:textId="4604F521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A2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ОӨЖ 6</w:t>
            </w:r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CA2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1EF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B618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CA9" w:rsidRPr="00CA2381" w14:paraId="0B5D713E" w14:textId="77777777" w:rsidTr="00AC1FC9">
        <w:trPr>
          <w:trHeight w:val="252"/>
        </w:trPr>
        <w:tc>
          <w:tcPr>
            <w:tcW w:w="8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BFEC" w14:textId="3DFF3358" w:rsidR="00D42CA9" w:rsidRPr="00CA2381" w:rsidRDefault="00D42CA9" w:rsidP="00D42C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ралық бақылау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B0F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2E9F" w14:textId="3DEE82DA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</w:tr>
      <w:tr w:rsidR="00D42CA9" w:rsidRPr="00CA2381" w14:paraId="31E9C14A" w14:textId="77777777" w:rsidTr="00AC1FC9">
        <w:trPr>
          <w:trHeight w:val="252"/>
        </w:trPr>
        <w:tc>
          <w:tcPr>
            <w:tcW w:w="8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8366" w14:textId="76F39D8C" w:rsidR="00D42CA9" w:rsidRPr="00CA2381" w:rsidRDefault="00D42CA9" w:rsidP="00D42C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емтихан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4EA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7C14" w14:textId="7AF00662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</w:tr>
      <w:tr w:rsidR="00D42CA9" w:rsidRPr="00CA2381" w14:paraId="613EB2BB" w14:textId="77777777" w:rsidTr="00AC1FC9">
        <w:trPr>
          <w:trHeight w:val="252"/>
        </w:trPr>
        <w:tc>
          <w:tcPr>
            <w:tcW w:w="8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0515" w14:textId="77777777" w:rsidR="00D42CA9" w:rsidRPr="00CA2381" w:rsidRDefault="00D42CA9" w:rsidP="00D42C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ұшін жиынтығы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BAE3" w14:textId="77777777" w:rsidR="00D42CA9" w:rsidRPr="00CA2381" w:rsidRDefault="00D42CA9" w:rsidP="00D42CA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8283" w14:textId="77777777" w:rsidR="00D42CA9" w:rsidRPr="00CA2381" w:rsidRDefault="00D42CA9" w:rsidP="00D42CA9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</w:tbl>
    <w:p w14:paraId="3F35639E" w14:textId="77777777" w:rsidR="00ED658C" w:rsidRPr="00CA2381" w:rsidRDefault="00817D6E">
      <w:pPr>
        <w:spacing w:after="0"/>
        <w:ind w:left="852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7395B2" w14:textId="77777777" w:rsidR="0088388F" w:rsidRPr="00CA2381" w:rsidRDefault="0088388F">
      <w:pPr>
        <w:spacing w:after="0"/>
        <w:ind w:left="852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34DAB48" w14:textId="77777777" w:rsidR="0088388F" w:rsidRPr="00CA2381" w:rsidRDefault="0088388F">
      <w:pPr>
        <w:spacing w:after="0"/>
        <w:ind w:left="852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E07447E" w14:textId="77777777" w:rsidR="0088388F" w:rsidRPr="00CA2381" w:rsidRDefault="0088388F">
      <w:pPr>
        <w:spacing w:after="0"/>
        <w:ind w:left="852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E3B8D85" w14:textId="77777777" w:rsidR="00ED658C" w:rsidRPr="00CA2381" w:rsidRDefault="00ED658C">
      <w:pPr>
        <w:spacing w:after="0"/>
        <w:ind w:left="-850" w:right="1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3" w:type="dxa"/>
        <w:tblInd w:w="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785"/>
        <w:gridCol w:w="1373"/>
        <w:gridCol w:w="985"/>
        <w:gridCol w:w="2012"/>
        <w:gridCol w:w="3260"/>
        <w:gridCol w:w="1218"/>
      </w:tblGrid>
      <w:tr w:rsidR="00ED658C" w:rsidRPr="00CA2381" w14:paraId="146DB94B" w14:textId="77777777" w:rsidTr="00582835">
        <w:trPr>
          <w:trHeight w:val="238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B5D309" w14:textId="77777777" w:rsidR="00ED658C" w:rsidRPr="00CA2381" w:rsidRDefault="00817D6E">
            <w:pPr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БІЛІМ БЕРУ, БІЛІМ АЛУ ЖӘНЕ БАҒАЛАНУ ТУРАЛЫ АҚПАРАТ </w:t>
            </w:r>
          </w:p>
        </w:tc>
      </w:tr>
      <w:tr w:rsidR="00ED658C" w:rsidRPr="00CA2381" w14:paraId="02AD9DA3" w14:textId="77777777" w:rsidTr="00582835">
        <w:trPr>
          <w:trHeight w:val="472"/>
        </w:trPr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E7D" w14:textId="77777777" w:rsidR="00ED658C" w:rsidRPr="00CA2381" w:rsidRDefault="00817D6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жетістіктерін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есептеудің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баллдық-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рейтингтік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әріптік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3C1" w14:textId="77777777" w:rsidR="00ED658C" w:rsidRPr="00CA2381" w:rsidRDefault="00817D6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D658C" w:rsidRPr="00CA2381" w14:paraId="7C837EA9" w14:textId="77777777" w:rsidTr="00582835">
        <w:trPr>
          <w:trHeight w:val="70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45F" w14:textId="77777777" w:rsidR="00ED658C" w:rsidRPr="00CA2381" w:rsidRDefault="00817D6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628" w14:textId="77777777" w:rsidR="00ED658C" w:rsidRPr="00CA2381" w:rsidRDefault="00817D6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Баллдардың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баламасы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AE9C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14:paraId="60848DF5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D06F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29C3" w14:textId="77777777" w:rsidR="00ED658C" w:rsidRPr="00CA2381" w:rsidRDefault="00817D6E">
            <w:pPr>
              <w:spacing w:after="11" w:line="267" w:lineRule="auto"/>
              <w:ind w:left="2"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әзірленген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оқытудан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күтілетін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ара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0C9E5D9" w14:textId="77777777" w:rsidR="00ED658C" w:rsidRPr="00CA2381" w:rsidRDefault="00817D6E">
            <w:pPr>
              <w:ind w:left="2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жүргізілетін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көрсеткіш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мүмкіндіктерін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айқындауға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қиындықтарды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оқытушының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уақтылы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пікірталастар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жарыссөздер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2D8B1822" w14:textId="77777777" w:rsidTr="00582835">
        <w:trPr>
          <w:trHeight w:val="3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883" w14:textId="77777777" w:rsidR="00ED658C" w:rsidRPr="00CA2381" w:rsidRDefault="00817D6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71D0" w14:textId="77777777" w:rsidR="00ED658C" w:rsidRPr="00CA2381" w:rsidRDefault="00817D6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2BCE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95-100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3F66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7036B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5C4CDD82" w14:textId="77777777" w:rsidTr="00582835">
        <w:trPr>
          <w:trHeight w:val="3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9848" w14:textId="77777777" w:rsidR="00ED658C" w:rsidRPr="00CA2381" w:rsidRDefault="00817D6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A-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EA61" w14:textId="77777777" w:rsidR="00ED658C" w:rsidRPr="00CA2381" w:rsidRDefault="00817D6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E7A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F63F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EA640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58702033" w14:textId="77777777" w:rsidTr="00582835">
        <w:trPr>
          <w:trHeight w:val="248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286" w14:textId="77777777" w:rsidR="00ED658C" w:rsidRPr="00CA2381" w:rsidRDefault="00817D6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B+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8A" w14:textId="77777777" w:rsidR="00ED658C" w:rsidRPr="00CA2381" w:rsidRDefault="00817D6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215F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2149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D50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7C07D66B" w14:textId="77777777" w:rsidTr="00582835">
        <w:trPr>
          <w:trHeight w:val="16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3212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BCF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3EC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8C4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D7D" w14:textId="77777777" w:rsidR="00ED658C" w:rsidRPr="00CA2381" w:rsidRDefault="00817D6E">
            <w:pPr>
              <w:ind w:left="115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бағдарламасына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аяқталғаннан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жүргізілетін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БӨЖ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семестр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оқытудан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күтілетін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игеруді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арақатынаста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меңгеру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658C" w:rsidRPr="00CA2381" w14:paraId="70E826F6" w14:textId="77777777" w:rsidTr="00582835">
        <w:trPr>
          <w:trHeight w:val="4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80C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3E5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25F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E099C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6A02" w14:textId="77777777" w:rsidR="00ED658C" w:rsidRPr="00CA2381" w:rsidRDefault="00817D6E">
            <w:pPr>
              <w:tabs>
                <w:tab w:val="center" w:pos="662"/>
                <w:tab w:val="center" w:pos="1725"/>
                <w:tab w:val="center" w:pos="2693"/>
              </w:tabs>
              <w:spacing w:after="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A69B61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AB1D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D658C" w:rsidRPr="00CA2381" w14:paraId="697327CD" w14:textId="77777777" w:rsidTr="00582835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AC0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B-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3322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7FB5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03338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DD6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Дәрістердегі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2333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ED658C" w:rsidRPr="00CA2381" w14:paraId="1B90E52D" w14:textId="77777777" w:rsidTr="00582835">
        <w:trPr>
          <w:trHeight w:val="4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03B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C+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FB78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1BC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3A9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F56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9EC5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ED658C" w:rsidRPr="00CA2381" w14:paraId="72C97E5B" w14:textId="77777777" w:rsidTr="00582835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C1B2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950B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67E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542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DFD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53E0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ED658C" w:rsidRPr="00CA2381" w14:paraId="78446733" w14:textId="77777777" w:rsidTr="00582835">
        <w:trPr>
          <w:trHeight w:val="4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5BED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C-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581B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E8D0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7B6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C3EC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Жобалық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EE0F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ED658C" w:rsidRPr="00CA2381" w14:paraId="2C9C308B" w14:textId="77777777" w:rsidTr="00582835">
        <w:trPr>
          <w:trHeight w:val="25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00BE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D+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648C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1B82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375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BCF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7B39" w14:textId="77777777" w:rsidR="00ED658C" w:rsidRPr="00CA2381" w:rsidRDefault="00817D6E">
            <w:pPr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 </w:t>
            </w:r>
          </w:p>
        </w:tc>
      </w:tr>
      <w:tr w:rsidR="00ED658C" w:rsidRPr="00CA2381" w14:paraId="57786521" w14:textId="77777777" w:rsidTr="00582835">
        <w:trPr>
          <w:trHeight w:val="24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17B" w14:textId="77777777" w:rsidR="00ED658C" w:rsidRPr="00CA2381" w:rsidRDefault="00817D6E">
            <w:pPr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57C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BCE" w14:textId="77777777" w:rsidR="00ED658C" w:rsidRPr="00CA2381" w:rsidRDefault="00817D6E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BCC" w14:textId="77777777" w:rsidR="00ED658C" w:rsidRPr="00CA2381" w:rsidRDefault="00ED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269" w14:textId="77777777" w:rsidR="00ED658C" w:rsidRPr="00CA2381" w:rsidRDefault="00817D6E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ЖИЫНТЫҒЫ                                    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2CB2" w14:textId="77777777" w:rsidR="00ED658C" w:rsidRPr="00CA2381" w:rsidRDefault="00817D6E">
            <w:pPr>
              <w:ind w:lef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 </w:t>
            </w:r>
          </w:p>
        </w:tc>
      </w:tr>
      <w:tr w:rsidR="001F1078" w:rsidRPr="00CA2381" w14:paraId="14566FEA" w14:textId="77777777" w:rsidTr="00582835">
        <w:trPr>
          <w:trHeight w:val="24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255" w14:textId="1FE3BDA3" w:rsidR="001F1078" w:rsidRPr="00CA2381" w:rsidRDefault="001F1078" w:rsidP="001F1078">
            <w:pPr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FX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79E6" w14:textId="77777777" w:rsidR="001F1078" w:rsidRPr="00CA2381" w:rsidRDefault="001F1078" w:rsidP="001F1078">
            <w:pPr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190F" w14:textId="7EEEE689" w:rsidR="001F1078" w:rsidRPr="00CA2381" w:rsidRDefault="001F1078" w:rsidP="001F1078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25-</w:t>
            </w:r>
            <w:r w:rsidRPr="00CA23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509C" w14:textId="77777777" w:rsidR="001F1078" w:rsidRPr="00CA2381" w:rsidRDefault="001F1078" w:rsidP="001F1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2352" w14:textId="77777777" w:rsidR="001F1078" w:rsidRPr="00CA2381" w:rsidRDefault="001F1078" w:rsidP="001F1078">
            <w:pPr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8E6" w14:textId="77777777" w:rsidR="001F1078" w:rsidRPr="00CA2381" w:rsidRDefault="001F1078" w:rsidP="001F1078">
            <w:pPr>
              <w:ind w:lef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078" w:rsidRPr="00CA2381" w14:paraId="03EC8E31" w14:textId="77777777" w:rsidTr="00582835">
        <w:trPr>
          <w:trHeight w:val="24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5C8" w14:textId="2E0F0B2F" w:rsidR="001F1078" w:rsidRPr="00CA2381" w:rsidRDefault="001F1078" w:rsidP="001F1078">
            <w:pPr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DD6" w14:textId="77777777" w:rsidR="001F1078" w:rsidRPr="00CA2381" w:rsidRDefault="001F1078" w:rsidP="001F1078">
            <w:pPr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F0A" w14:textId="122CD5D4" w:rsidR="001F1078" w:rsidRPr="00CA2381" w:rsidRDefault="001F1078" w:rsidP="001F1078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</w:t>
            </w:r>
            <w:r w:rsidRPr="00CA23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735F" w14:textId="77777777" w:rsidR="001F1078" w:rsidRPr="00CA2381" w:rsidRDefault="001F1078" w:rsidP="001F1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AF3" w14:textId="77777777" w:rsidR="001F1078" w:rsidRPr="00CA2381" w:rsidRDefault="001F1078" w:rsidP="001F1078">
            <w:pPr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9B82" w14:textId="77777777" w:rsidR="001F1078" w:rsidRPr="00CA2381" w:rsidRDefault="001F1078" w:rsidP="001F1078">
            <w:pPr>
              <w:ind w:lef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078" w:rsidRPr="00CA2381" w14:paraId="6FDB261B" w14:textId="77777777" w:rsidTr="00582835">
        <w:trPr>
          <w:trHeight w:val="69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0CC933B" w14:textId="77777777" w:rsidR="001F1078" w:rsidRPr="00CA2381" w:rsidRDefault="001F1078" w:rsidP="001F1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391C06" w14:textId="77777777" w:rsidR="001F1078" w:rsidRPr="00CA2381" w:rsidRDefault="001F1078" w:rsidP="001F1078">
            <w:pPr>
              <w:spacing w:after="23"/>
              <w:ind w:right="7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F4C0A3" w14:textId="77777777" w:rsidR="001F1078" w:rsidRPr="00CA2381" w:rsidRDefault="001F1078" w:rsidP="001F1078">
            <w:pPr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күнтізбесі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88EF860" w14:textId="77777777" w:rsidR="001F1078" w:rsidRPr="00CA2381" w:rsidRDefault="001F1078" w:rsidP="001F1078">
            <w:pPr>
              <w:ind w:right="7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51D298" w14:textId="77777777" w:rsidR="00ED658C" w:rsidRPr="00CA2381" w:rsidRDefault="00817D6E">
      <w:pPr>
        <w:spacing w:after="0"/>
        <w:ind w:right="4925"/>
        <w:jc w:val="right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F08E390" w14:textId="77777777" w:rsidR="00ED658C" w:rsidRPr="00CA2381" w:rsidRDefault="00817D6E">
      <w:pPr>
        <w:spacing w:after="0"/>
        <w:ind w:left="852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056DC0" w14:textId="5266D757" w:rsidR="00ED658C" w:rsidRPr="00CA2381" w:rsidRDefault="00ED658C" w:rsidP="00F6004A">
      <w:pPr>
        <w:spacing w:after="0"/>
        <w:ind w:left="975"/>
        <w:jc w:val="both"/>
        <w:rPr>
          <w:rFonts w:ascii="Times New Roman" w:hAnsi="Times New Roman" w:cs="Times New Roman"/>
          <w:sz w:val="20"/>
          <w:szCs w:val="20"/>
        </w:rPr>
      </w:pPr>
    </w:p>
    <w:p w14:paraId="7C2E9AFE" w14:textId="77777777" w:rsidR="00957BB4" w:rsidRPr="00CA2381" w:rsidRDefault="00957BB4" w:rsidP="00F6004A">
      <w:pPr>
        <w:spacing w:after="0"/>
        <w:ind w:left="975"/>
        <w:jc w:val="both"/>
        <w:rPr>
          <w:rFonts w:ascii="Times New Roman" w:hAnsi="Times New Roman" w:cs="Times New Roman"/>
          <w:sz w:val="20"/>
          <w:szCs w:val="20"/>
        </w:rPr>
      </w:pPr>
    </w:p>
    <w:p w14:paraId="63892ADF" w14:textId="4CC0467D" w:rsidR="00F6004A" w:rsidRPr="00CA2381" w:rsidRDefault="00F6004A" w:rsidP="0018064D">
      <w:pPr>
        <w:suppressAutoHyphens/>
        <w:spacing w:after="0" w:line="240" w:lineRule="auto"/>
        <w:ind w:left="123"/>
        <w:rPr>
          <w:rFonts w:ascii="Times New Roman" w:hAnsi="Times New Roman" w:cs="Times New Roman"/>
          <w:color w:val="EE0000"/>
          <w:sz w:val="20"/>
          <w:szCs w:val="20"/>
        </w:rPr>
      </w:pPr>
      <w:r w:rsidRPr="00CA2381">
        <w:rPr>
          <w:rFonts w:ascii="Times New Roman" w:hAnsi="Times New Roman" w:cs="Times New Roman"/>
          <w:color w:val="EE0000"/>
          <w:sz w:val="20"/>
          <w:szCs w:val="20"/>
        </w:rPr>
        <w:t xml:space="preserve">Факультет </w:t>
      </w:r>
      <w:proofErr w:type="gramStart"/>
      <w:r w:rsidRPr="00CA2381">
        <w:rPr>
          <w:rFonts w:ascii="Times New Roman" w:hAnsi="Times New Roman" w:cs="Times New Roman"/>
          <w:color w:val="EE0000"/>
          <w:sz w:val="20"/>
          <w:szCs w:val="20"/>
        </w:rPr>
        <w:t xml:space="preserve">деканы:   </w:t>
      </w:r>
      <w:proofErr w:type="gramEnd"/>
      <w:r w:rsidRPr="00CA2381">
        <w:rPr>
          <w:rFonts w:ascii="Times New Roman" w:hAnsi="Times New Roman" w:cs="Times New Roman"/>
          <w:color w:val="EE0000"/>
          <w:sz w:val="20"/>
          <w:szCs w:val="20"/>
        </w:rPr>
        <w:t xml:space="preserve">                                                                                                    </w:t>
      </w:r>
      <w:r w:rsidR="005A2882" w:rsidRPr="00CA2381">
        <w:rPr>
          <w:rFonts w:ascii="Times New Roman" w:hAnsi="Times New Roman" w:cs="Times New Roman"/>
          <w:color w:val="EE0000"/>
          <w:sz w:val="20"/>
          <w:szCs w:val="20"/>
        </w:rPr>
        <w:t>У</w:t>
      </w:r>
      <w:r w:rsidRPr="00CA2381">
        <w:rPr>
          <w:rFonts w:ascii="Times New Roman" w:hAnsi="Times New Roman" w:cs="Times New Roman"/>
          <w:color w:val="EE0000"/>
          <w:sz w:val="20"/>
          <w:szCs w:val="20"/>
        </w:rPr>
        <w:t>.</w:t>
      </w:r>
      <w:r w:rsidR="005A2882" w:rsidRPr="00CA2381">
        <w:rPr>
          <w:rFonts w:ascii="Times New Roman" w:hAnsi="Times New Roman" w:cs="Times New Roman"/>
          <w:color w:val="EE0000"/>
          <w:sz w:val="20"/>
          <w:szCs w:val="20"/>
        </w:rPr>
        <w:t>А</w:t>
      </w:r>
      <w:r w:rsidRPr="00CA2381">
        <w:rPr>
          <w:rFonts w:ascii="Times New Roman" w:hAnsi="Times New Roman" w:cs="Times New Roman"/>
          <w:color w:val="EE0000"/>
          <w:sz w:val="20"/>
          <w:szCs w:val="20"/>
        </w:rPr>
        <w:t xml:space="preserve">. </w:t>
      </w:r>
      <w:r w:rsidR="005A2882" w:rsidRPr="00CA2381">
        <w:rPr>
          <w:rFonts w:ascii="Times New Roman" w:hAnsi="Times New Roman" w:cs="Times New Roman"/>
          <w:color w:val="EE0000"/>
          <w:sz w:val="20"/>
          <w:szCs w:val="20"/>
        </w:rPr>
        <w:t>Ахатов</w:t>
      </w:r>
    </w:p>
    <w:p w14:paraId="55A276B6" w14:textId="7DBD077C" w:rsidR="00F6004A" w:rsidRPr="00CA2381" w:rsidRDefault="00F6004A" w:rsidP="00F6004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eastAsia="zh-CN"/>
        </w:rPr>
      </w:pPr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Кафедра </w:t>
      </w:r>
      <w:proofErr w:type="spellStart"/>
      <w:proofErr w:type="gram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меңгерушісі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:   </w:t>
      </w:r>
      <w:proofErr w:type="gram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                                                                                              </w:t>
      </w:r>
      <w:proofErr w:type="gram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Г.А.</w:t>
      </w:r>
      <w:proofErr w:type="gram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Куаналиева</w:t>
      </w:r>
    </w:p>
    <w:p w14:paraId="6FB77ABF" w14:textId="528C74F9" w:rsidR="00F6004A" w:rsidRPr="00CA2381" w:rsidRDefault="00F6004A" w:rsidP="00F6004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eastAsia="zh-CN"/>
        </w:rPr>
      </w:pPr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Оқыту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және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білім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беру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сапасы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бойынша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                                                                  </w:t>
      </w:r>
      <w:proofErr w:type="gram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А.А.</w:t>
      </w:r>
      <w:proofErr w:type="gram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Урисбаева</w:t>
      </w:r>
      <w:proofErr w:type="spellEnd"/>
    </w:p>
    <w:p w14:paraId="6CECE90B" w14:textId="77777777" w:rsidR="00F6004A" w:rsidRPr="00CA2381" w:rsidRDefault="00F6004A" w:rsidP="00F6004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eastAsia="zh-CN"/>
        </w:rPr>
      </w:pPr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академиялық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комитет төрайымы:</w:t>
      </w:r>
    </w:p>
    <w:p w14:paraId="618B6FD7" w14:textId="3F25758B" w:rsidR="00F6004A" w:rsidRPr="00CA2381" w:rsidRDefault="00F6004A" w:rsidP="00F6004A">
      <w:p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  <w:sectPr w:rsidR="00F6004A" w:rsidRPr="00CA2381" w:rsidSect="00957BB4">
          <w:pgSz w:w="11910" w:h="16840"/>
          <w:pgMar w:top="680" w:right="851" w:bottom="680" w:left="1701" w:header="720" w:footer="720" w:gutter="0"/>
          <w:cols w:space="720"/>
          <w:docGrid w:linePitch="299"/>
        </w:sectPr>
      </w:pPr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</w:t>
      </w:r>
      <w:proofErr w:type="spellStart"/>
      <w:proofErr w:type="gram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Дәріскер</w:t>
      </w:r>
      <w:proofErr w:type="spell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:   </w:t>
      </w:r>
      <w:proofErr w:type="gramEnd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 xml:space="preserve">                                                                                                                      Қ.М. </w:t>
      </w:r>
      <w:proofErr w:type="spellStart"/>
      <w:r w:rsidRPr="00CA2381">
        <w:rPr>
          <w:rFonts w:ascii="Times New Roman" w:hAnsi="Times New Roman" w:cs="Times New Roman"/>
          <w:color w:val="EE0000"/>
          <w:sz w:val="20"/>
          <w:szCs w:val="20"/>
          <w:lang w:eastAsia="zh-CN"/>
        </w:rPr>
        <w:t>Қожабек</w:t>
      </w:r>
      <w:proofErr w:type="spellEnd"/>
    </w:p>
    <w:p w14:paraId="66D80CBD" w14:textId="77777777" w:rsidR="00ED658C" w:rsidRPr="00CA2381" w:rsidRDefault="00817D6E">
      <w:pPr>
        <w:spacing w:after="5" w:line="347" w:lineRule="auto"/>
        <w:ind w:left="5195" w:right="469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ЖИЫНТЫҚ БАҒАЛАУ РУБРИКАТОРЫ.  ОҚУ НӘТИЖЕЛЕРІН БАҒАЛАУ КРИТЕРИЙЛЕРІ </w:t>
      </w:r>
    </w:p>
    <w:p w14:paraId="096DAE6B" w14:textId="70EE0C85" w:rsidR="00ED658C" w:rsidRPr="00CA2381" w:rsidRDefault="00817D6E">
      <w:pPr>
        <w:pStyle w:val="1"/>
        <w:ind w:left="381"/>
        <w:rPr>
          <w:szCs w:val="20"/>
        </w:rPr>
      </w:pPr>
      <w:r w:rsidRPr="00CA2381">
        <w:rPr>
          <w:szCs w:val="20"/>
        </w:rPr>
        <w:t>«</w:t>
      </w:r>
      <w:r w:rsidR="0088388F" w:rsidRPr="00CA2381">
        <w:rPr>
          <w:szCs w:val="20"/>
          <w:lang w:val="kk-KZ"/>
        </w:rPr>
        <w:t>М</w:t>
      </w:r>
      <w:r w:rsidRPr="00CA2381">
        <w:rPr>
          <w:szCs w:val="20"/>
        </w:rPr>
        <w:t>ӨЖ 1</w:t>
      </w:r>
      <w:r w:rsidR="0088388F" w:rsidRPr="00CA2381">
        <w:rPr>
          <w:szCs w:val="20"/>
          <w:lang w:val="kk-KZ"/>
        </w:rPr>
        <w:t xml:space="preserve"> </w:t>
      </w:r>
      <w:r w:rsidR="0088388F" w:rsidRPr="00473249">
        <w:rPr>
          <w:szCs w:val="20"/>
          <w:lang w:val="kk-KZ"/>
        </w:rPr>
        <w:t>Инвестициялық қызметтің субъектілері: мемлекет пен жеке инвестордың құқықтық мәртебесін салыстырмалы талдау.</w:t>
      </w:r>
      <w:r w:rsidR="0088388F" w:rsidRPr="00CA2381">
        <w:rPr>
          <w:szCs w:val="20"/>
          <w:lang w:val="kk-KZ"/>
        </w:rPr>
        <w:t xml:space="preserve"> </w:t>
      </w:r>
      <w:r w:rsidR="0088388F" w:rsidRPr="00CA2381">
        <w:rPr>
          <w:bCs/>
          <w:szCs w:val="20"/>
        </w:rPr>
        <w:t xml:space="preserve">Презентация </w:t>
      </w:r>
      <w:proofErr w:type="spellStart"/>
      <w:r w:rsidR="0088388F" w:rsidRPr="00CA2381">
        <w:rPr>
          <w:bCs/>
          <w:szCs w:val="20"/>
        </w:rPr>
        <w:t>жасау</w:t>
      </w:r>
      <w:proofErr w:type="spellEnd"/>
      <w:r w:rsidR="0088388F" w:rsidRPr="00CA2381">
        <w:rPr>
          <w:bCs/>
          <w:szCs w:val="20"/>
        </w:rPr>
        <w:t xml:space="preserve"> </w:t>
      </w:r>
      <w:proofErr w:type="spellStart"/>
      <w:r w:rsidR="0088388F" w:rsidRPr="00CA2381">
        <w:rPr>
          <w:bCs/>
          <w:szCs w:val="20"/>
        </w:rPr>
        <w:t>және</w:t>
      </w:r>
      <w:proofErr w:type="spellEnd"/>
      <w:r w:rsidR="0088388F" w:rsidRPr="00CA2381">
        <w:rPr>
          <w:bCs/>
          <w:szCs w:val="20"/>
        </w:rPr>
        <w:t xml:space="preserve"> </w:t>
      </w:r>
      <w:proofErr w:type="spellStart"/>
      <w:r w:rsidR="0088388F" w:rsidRPr="00CA2381">
        <w:rPr>
          <w:bCs/>
          <w:szCs w:val="20"/>
        </w:rPr>
        <w:t>қорғау</w:t>
      </w:r>
      <w:proofErr w:type="spellEnd"/>
      <w:r w:rsidR="0088388F" w:rsidRPr="00CA2381">
        <w:rPr>
          <w:bCs/>
          <w:szCs w:val="20"/>
        </w:rPr>
        <w:t>.</w:t>
      </w:r>
      <w:r w:rsidR="0088388F" w:rsidRPr="00CA2381">
        <w:rPr>
          <w:szCs w:val="20"/>
        </w:rPr>
        <w:t xml:space="preserve"> </w:t>
      </w:r>
      <w:r w:rsidRPr="00CA2381">
        <w:rPr>
          <w:szCs w:val="20"/>
        </w:rPr>
        <w:t>(АБ 100%-</w:t>
      </w:r>
      <w:proofErr w:type="spellStart"/>
      <w:r w:rsidRPr="00CA2381">
        <w:rPr>
          <w:szCs w:val="20"/>
        </w:rPr>
        <w:t>ның</w:t>
      </w:r>
      <w:proofErr w:type="spellEnd"/>
      <w:r w:rsidRPr="00CA2381">
        <w:rPr>
          <w:szCs w:val="20"/>
        </w:rPr>
        <w:t xml:space="preserve"> 25%) </w:t>
      </w:r>
    </w:p>
    <w:tbl>
      <w:tblPr>
        <w:tblStyle w:val="TableGrid"/>
        <w:tblW w:w="14835" w:type="dxa"/>
        <w:tblInd w:w="133" w:type="dxa"/>
        <w:tblCellMar>
          <w:top w:w="54" w:type="dxa"/>
          <w:left w:w="4" w:type="dxa"/>
        </w:tblCellMar>
        <w:tblLook w:val="04A0" w:firstRow="1" w:lastRow="0" w:firstColumn="1" w:lastColumn="0" w:noHBand="0" w:noVBand="1"/>
      </w:tblPr>
      <w:tblGrid>
        <w:gridCol w:w="2797"/>
        <w:gridCol w:w="3142"/>
        <w:gridCol w:w="2671"/>
        <w:gridCol w:w="3307"/>
        <w:gridCol w:w="2918"/>
      </w:tblGrid>
      <w:tr w:rsidR="00ED658C" w:rsidRPr="00CA2381" w14:paraId="47F12AE7" w14:textId="77777777">
        <w:trPr>
          <w:trHeight w:val="472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4FC8E6BB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948860C" w14:textId="77777777" w:rsidR="00ED658C" w:rsidRPr="00CA2381" w:rsidRDefault="00817D6E">
            <w:pPr>
              <w:ind w:left="1218" w:right="542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1E4B6CB4" w14:textId="77777777" w:rsidR="00ED658C" w:rsidRPr="00CA2381" w:rsidRDefault="00817D6E">
            <w:pPr>
              <w:ind w:left="989" w:right="278" w:hanging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15-20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4E95EFE9" w14:textId="77777777" w:rsidR="00ED658C" w:rsidRPr="00CA2381" w:rsidRDefault="00817D6E">
            <w:pPr>
              <w:ind w:left="1349" w:right="82" w:hanging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9219229" w14:textId="77777777" w:rsidR="00ED658C" w:rsidRPr="00CA2381" w:rsidRDefault="00817D6E">
            <w:pPr>
              <w:ind w:left="1227" w:hanging="85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0-10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ED658C" w:rsidRPr="00CA2381" w14:paraId="3E9A57A7" w14:textId="77777777">
        <w:trPr>
          <w:trHeight w:val="2318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AB00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Тақырыптың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толықтығы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D2A0" w14:textId="400B6790" w:rsidR="00ED658C" w:rsidRPr="00CA2381" w:rsidRDefault="004060A8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субъект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ұқсастықтары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23BB" w14:textId="77777777" w:rsidR="00ED658C" w:rsidRPr="00CA2381" w:rsidRDefault="00817D6E">
            <w:pPr>
              <w:spacing w:line="245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беткей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A9FB472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4877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мәліметтер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жетіспейді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түсіндірілгенімен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C8E9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44EFB56A" w14:textId="77777777">
        <w:trPr>
          <w:trHeight w:val="208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86AC" w14:textId="21D86E7C" w:rsidR="00ED658C" w:rsidRPr="00CA2381" w:rsidRDefault="00406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Инвестициялық </w:t>
            </w:r>
            <w:proofErr w:type="spellStart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құқығының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қайнар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көздерін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="00817D6E"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48A2" w14:textId="1C01704F" w:rsidR="00ED658C" w:rsidRPr="00CA2381" w:rsidRDefault="004060A8">
            <w:pPr>
              <w:ind w:left="8" w:right="1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Әрқайсысының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процестегі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түсіндіріліп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21A7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тереңірек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E35B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Кеден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құқығының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назардан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CBCF" w14:textId="77777777" w:rsidR="00ED658C" w:rsidRPr="00CA2381" w:rsidRDefault="00817D6E">
            <w:pPr>
              <w:ind w:left="3" w:righ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талданбаған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2C1DC76A" w14:textId="77777777">
        <w:trPr>
          <w:trHeight w:val="162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8EF5" w14:textId="77777777" w:rsidR="00ED658C" w:rsidRPr="00CA2381" w:rsidRDefault="0081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129C" w14:textId="4AF4F685" w:rsidR="00ED658C" w:rsidRPr="00CA2381" w:rsidRDefault="004060A8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сондай-ақ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субъект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тәжірибелермен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E110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D5FE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2712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келтірілмеген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1C91B4E9" w14:textId="77777777">
        <w:trPr>
          <w:trHeight w:val="2316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FA3D" w14:textId="77777777" w:rsidR="00ED658C" w:rsidRPr="00CA2381" w:rsidRDefault="00817D6E">
            <w:pPr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грамматикасы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A9A3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байланысқан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тілмен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баяндалған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A3E3" w14:textId="77777777" w:rsidR="00ED658C" w:rsidRPr="00CA2381" w:rsidRDefault="00817D6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7314DA" w14:textId="77777777" w:rsidR="00ED658C" w:rsidRPr="00CA2381" w:rsidRDefault="00817D6E">
            <w:pPr>
              <w:ind w:left="3" w:righ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логика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жақсартулар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Стиль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E3C8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аралас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редакцияланған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61C6" w14:textId="77777777" w:rsidR="00ED658C" w:rsidRPr="00CA2381" w:rsidRDefault="00817D6E">
            <w:pPr>
              <w:ind w:left="3" w:righ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құрылымнан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нашар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қателіктер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 </w:t>
            </w:r>
          </w:p>
        </w:tc>
      </w:tr>
    </w:tbl>
    <w:p w14:paraId="1CD6092A" w14:textId="77777777" w:rsidR="00ED658C" w:rsidRPr="00CA2381" w:rsidRDefault="00817D6E">
      <w:pPr>
        <w:spacing w:after="44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2A64C7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768FBF0" w14:textId="77777777" w:rsidR="00ED658C" w:rsidRPr="00CA2381" w:rsidRDefault="00817D6E">
      <w:pPr>
        <w:spacing w:after="0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195F145" w14:textId="77777777" w:rsidR="00ED658C" w:rsidRPr="00CA2381" w:rsidRDefault="00817D6E">
      <w:pPr>
        <w:spacing w:after="85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05597B0" w14:textId="77777777" w:rsidR="00ED658C" w:rsidRPr="00CA2381" w:rsidRDefault="00817D6E">
      <w:pPr>
        <w:spacing w:after="84"/>
        <w:ind w:left="10" w:right="5129" w:hanging="10"/>
        <w:jc w:val="right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ЖИЫНТЫҚ БАҒАЛАУ РУБРИКАТОРЫ </w:t>
      </w:r>
    </w:p>
    <w:p w14:paraId="1EA940EA" w14:textId="77777777" w:rsidR="00ED658C" w:rsidRPr="00CA2381" w:rsidRDefault="00817D6E">
      <w:pPr>
        <w:spacing w:after="15"/>
        <w:ind w:left="10" w:right="4690" w:hanging="10"/>
        <w:jc w:val="right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ОҚУ НӘТИЖЕЛЕРІН БАҒАЛАУ КРИТЕРИЙЛЕРІ </w:t>
      </w:r>
    </w:p>
    <w:p w14:paraId="5E2C0754" w14:textId="7E1FF08B" w:rsidR="00ED658C" w:rsidRPr="00CA2381" w:rsidRDefault="00817D6E">
      <w:pPr>
        <w:pStyle w:val="1"/>
        <w:ind w:left="381"/>
        <w:rPr>
          <w:szCs w:val="20"/>
        </w:rPr>
      </w:pPr>
      <w:r w:rsidRPr="00CA2381">
        <w:rPr>
          <w:szCs w:val="20"/>
        </w:rPr>
        <w:t xml:space="preserve">СӨЖ 2 </w:t>
      </w:r>
      <w:r w:rsidR="004060A8" w:rsidRPr="00473249">
        <w:rPr>
          <w:szCs w:val="20"/>
          <w:lang w:val="kk-KZ"/>
        </w:rPr>
        <w:t>Халықаралық ұйымдардың инвестициялық қызметтегі рөлі мен құқықтық орны.</w:t>
      </w:r>
      <w:r w:rsidR="004060A8" w:rsidRPr="00CA2381">
        <w:rPr>
          <w:bCs/>
          <w:szCs w:val="20"/>
        </w:rPr>
        <w:t xml:space="preserve"> Презентация </w:t>
      </w:r>
      <w:proofErr w:type="spellStart"/>
      <w:r w:rsidR="004060A8" w:rsidRPr="00CA2381">
        <w:rPr>
          <w:bCs/>
          <w:szCs w:val="20"/>
        </w:rPr>
        <w:t>жасау</w:t>
      </w:r>
      <w:proofErr w:type="spellEnd"/>
      <w:r w:rsidR="004060A8" w:rsidRPr="00CA2381">
        <w:rPr>
          <w:bCs/>
          <w:szCs w:val="20"/>
        </w:rPr>
        <w:t xml:space="preserve"> </w:t>
      </w:r>
      <w:proofErr w:type="spellStart"/>
      <w:r w:rsidR="004060A8" w:rsidRPr="00CA2381">
        <w:rPr>
          <w:bCs/>
          <w:szCs w:val="20"/>
        </w:rPr>
        <w:t>және</w:t>
      </w:r>
      <w:proofErr w:type="spellEnd"/>
      <w:r w:rsidR="004060A8" w:rsidRPr="00CA2381">
        <w:rPr>
          <w:bCs/>
          <w:szCs w:val="20"/>
        </w:rPr>
        <w:t xml:space="preserve"> </w:t>
      </w:r>
      <w:proofErr w:type="spellStart"/>
      <w:r w:rsidR="004060A8" w:rsidRPr="00CA2381">
        <w:rPr>
          <w:bCs/>
          <w:szCs w:val="20"/>
        </w:rPr>
        <w:t>қорғау</w:t>
      </w:r>
      <w:proofErr w:type="spellEnd"/>
      <w:r w:rsidR="004060A8" w:rsidRPr="00CA2381">
        <w:rPr>
          <w:szCs w:val="20"/>
        </w:rPr>
        <w:t xml:space="preserve"> </w:t>
      </w:r>
      <w:r w:rsidRPr="00CA2381">
        <w:rPr>
          <w:szCs w:val="20"/>
        </w:rPr>
        <w:t>(АБ 100%-</w:t>
      </w:r>
      <w:proofErr w:type="spellStart"/>
      <w:r w:rsidRPr="00CA2381">
        <w:rPr>
          <w:szCs w:val="20"/>
        </w:rPr>
        <w:t>ның</w:t>
      </w:r>
      <w:proofErr w:type="spellEnd"/>
      <w:r w:rsidRPr="00CA2381">
        <w:rPr>
          <w:szCs w:val="20"/>
        </w:rPr>
        <w:t xml:space="preserve"> 25%) </w:t>
      </w:r>
    </w:p>
    <w:tbl>
      <w:tblPr>
        <w:tblStyle w:val="TableGrid"/>
        <w:tblW w:w="14835" w:type="dxa"/>
        <w:tblInd w:w="133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2797"/>
        <w:gridCol w:w="3142"/>
        <w:gridCol w:w="2671"/>
        <w:gridCol w:w="3307"/>
        <w:gridCol w:w="2918"/>
      </w:tblGrid>
      <w:tr w:rsidR="00ED658C" w:rsidRPr="00CA2381" w14:paraId="0B44BE3A" w14:textId="77777777">
        <w:trPr>
          <w:trHeight w:val="472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5A2215CE" w14:textId="77777777" w:rsidR="00ED658C" w:rsidRPr="00CA2381" w:rsidRDefault="00817D6E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8AB5614" w14:textId="77777777" w:rsidR="00ED658C" w:rsidRPr="00CA2381" w:rsidRDefault="00817D6E">
            <w:pPr>
              <w:ind w:left="1222" w:right="542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101219BB" w14:textId="77777777" w:rsidR="00ED658C" w:rsidRPr="00CA2381" w:rsidRDefault="00817D6E">
            <w:pPr>
              <w:ind w:left="993" w:right="278" w:hanging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15-20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171D3F5" w14:textId="77777777" w:rsidR="00ED658C" w:rsidRPr="00CA2381" w:rsidRDefault="00817D6E">
            <w:pPr>
              <w:ind w:left="1353" w:right="82" w:hanging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6DD1A40" w14:textId="77777777" w:rsidR="00ED658C" w:rsidRPr="00CA2381" w:rsidRDefault="00817D6E">
            <w:pPr>
              <w:ind w:left="1231" w:hanging="85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0-10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ED658C" w:rsidRPr="00CA2381" w14:paraId="010A9134" w14:textId="77777777">
        <w:trPr>
          <w:trHeight w:val="1627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7AA7" w14:textId="77777777" w:rsidR="00ED658C" w:rsidRPr="00CA2381" w:rsidRDefault="00817D6E">
            <w:pPr>
              <w:spacing w:after="22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Тақырыптың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6852B9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мәселені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7F4A" w14:textId="5B65DA03" w:rsidR="00ED658C" w:rsidRPr="00CA2381" w:rsidRDefault="004B6FCA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табушы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ұстанымдар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0BED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идеялар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7F54" w14:textId="77777777" w:rsidR="00ED658C" w:rsidRPr="00CA2381" w:rsidRDefault="00817D6E">
            <w:pPr>
              <w:ind w:left="8"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олқылықтар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9981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талқыланбаған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айтарлықтай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қателіктер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 </w:t>
            </w:r>
          </w:p>
        </w:tc>
      </w:tr>
      <w:tr w:rsidR="00ED658C" w:rsidRPr="00CA2381" w14:paraId="598E1C02" w14:textId="77777777">
        <w:trPr>
          <w:trHeight w:val="165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393C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Аргументтердің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негізділігі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5A65" w14:textId="20E10D02" w:rsidR="00ED658C" w:rsidRPr="00CA2381" w:rsidRDefault="004B6FCA">
            <w:pPr>
              <w:ind w:left="12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дипломатиялық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оқиғаларға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AA99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негіздеуді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7FE8" w14:textId="77777777" w:rsidR="00ED658C" w:rsidRPr="00CA2381" w:rsidRDefault="00817D6E">
            <w:pPr>
              <w:spacing w:line="26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52F9B654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D4A68E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80F6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негізделмеген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595D4419" w14:textId="77777777">
        <w:trPr>
          <w:trHeight w:val="162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4CDF" w14:textId="77777777" w:rsidR="00ED658C" w:rsidRPr="00CA2381" w:rsidRDefault="00817D6E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пікірлерге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E02E" w14:textId="15256BCF" w:rsidR="00ED658C" w:rsidRPr="00CA2381" w:rsidRDefault="004B6FCA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сәтті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ұстанымдары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қисынды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FE09" w14:textId="77777777" w:rsidR="00ED658C" w:rsidRPr="00CA2381" w:rsidRDefault="00817D6E">
            <w:pPr>
              <w:spacing w:line="249" w:lineRule="auto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8B45107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952989" w14:textId="77777777" w:rsidR="00ED658C" w:rsidRPr="00CA2381" w:rsidRDefault="00817D6E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2982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беткей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негізделмеген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3E92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58068BDD" w14:textId="77777777">
        <w:trPr>
          <w:trHeight w:val="1167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63D9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63D6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заңнамаға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C0B8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жетіспейді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FA41" w14:textId="77777777" w:rsidR="00ED658C" w:rsidRPr="00CA2381" w:rsidRDefault="00817D6E">
            <w:pPr>
              <w:ind w:left="-13" w:firstLine="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ескірген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жерлерде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7E48" w14:textId="77777777" w:rsidR="00ED658C" w:rsidRPr="00CA2381" w:rsidRDefault="00817D6E">
            <w:pPr>
              <w:ind w:left="7"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көрсетілмеген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0E3072EE" w14:textId="77777777" w:rsidR="00ED658C" w:rsidRPr="00CA2381" w:rsidRDefault="00817D6E">
      <w:pPr>
        <w:spacing w:after="46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3B5DF89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34D8B20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0DF03F1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6BBB9F" w14:textId="0BE7040A" w:rsidR="00ED658C" w:rsidRPr="00CA2381" w:rsidRDefault="00817D6E" w:rsidP="00957BB4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7A0966E0" w14:textId="3531E0D6" w:rsidR="00ED658C" w:rsidRPr="00CA2381" w:rsidRDefault="00ED658C" w:rsidP="004B6FCA">
      <w:pPr>
        <w:spacing w:after="85"/>
        <w:ind w:left="544"/>
        <w:jc w:val="center"/>
        <w:rPr>
          <w:rFonts w:ascii="Times New Roman" w:hAnsi="Times New Roman" w:cs="Times New Roman"/>
          <w:sz w:val="20"/>
          <w:szCs w:val="20"/>
        </w:rPr>
      </w:pPr>
    </w:p>
    <w:p w14:paraId="1CF9C61C" w14:textId="558B4237" w:rsidR="004B6FCA" w:rsidRPr="00CA2381" w:rsidRDefault="00817D6E" w:rsidP="004B6FCA">
      <w:pPr>
        <w:pStyle w:val="1"/>
        <w:jc w:val="center"/>
        <w:rPr>
          <w:szCs w:val="20"/>
          <w:lang w:val="kk-KZ"/>
        </w:rPr>
      </w:pPr>
      <w:r w:rsidRPr="00CA2381">
        <w:rPr>
          <w:szCs w:val="20"/>
        </w:rPr>
        <w:t>ЖИЫНТЫҚ БАҒАЛАУ РУБРИКАТОРЫ ОҚУ НӘТИЖЕЛЕРІН БАҒАЛАУ КРИТЕРИЙЛЕРІ</w:t>
      </w:r>
    </w:p>
    <w:p w14:paraId="3DADB730" w14:textId="5A7814F7" w:rsidR="00ED658C" w:rsidRPr="00CA2381" w:rsidRDefault="00817D6E" w:rsidP="004B6FCA">
      <w:pPr>
        <w:pStyle w:val="1"/>
        <w:jc w:val="center"/>
        <w:rPr>
          <w:szCs w:val="20"/>
        </w:rPr>
      </w:pPr>
      <w:r w:rsidRPr="00CA2381">
        <w:rPr>
          <w:szCs w:val="20"/>
        </w:rPr>
        <w:t xml:space="preserve">СӨЖ 3. </w:t>
      </w:r>
      <w:r w:rsidR="004B6FCA" w:rsidRPr="00473249">
        <w:rPr>
          <w:szCs w:val="20"/>
          <w:lang w:val="kk-KZ"/>
        </w:rPr>
        <w:t>ҚР заңнамасындағы инвесторлардың құқықтары мен кепілдіктері: теория және практика.</w:t>
      </w:r>
      <w:r w:rsidR="004B6FCA" w:rsidRPr="00CA2381">
        <w:rPr>
          <w:bCs/>
          <w:szCs w:val="20"/>
        </w:rPr>
        <w:t xml:space="preserve"> Презентация </w:t>
      </w:r>
      <w:proofErr w:type="spellStart"/>
      <w:r w:rsidR="004B6FCA" w:rsidRPr="00CA2381">
        <w:rPr>
          <w:bCs/>
          <w:szCs w:val="20"/>
        </w:rPr>
        <w:t>жасау</w:t>
      </w:r>
      <w:proofErr w:type="spellEnd"/>
      <w:r w:rsidR="004B6FCA" w:rsidRPr="00CA2381">
        <w:rPr>
          <w:bCs/>
          <w:szCs w:val="20"/>
        </w:rPr>
        <w:t xml:space="preserve"> </w:t>
      </w:r>
      <w:proofErr w:type="spellStart"/>
      <w:r w:rsidR="004B6FCA" w:rsidRPr="00CA2381">
        <w:rPr>
          <w:bCs/>
          <w:szCs w:val="20"/>
        </w:rPr>
        <w:t>және</w:t>
      </w:r>
      <w:proofErr w:type="spellEnd"/>
      <w:r w:rsidR="004B6FCA" w:rsidRPr="00CA2381">
        <w:rPr>
          <w:bCs/>
          <w:szCs w:val="20"/>
          <w:lang w:val="kk-KZ"/>
        </w:rPr>
        <w:t xml:space="preserve"> </w:t>
      </w:r>
      <w:proofErr w:type="spellStart"/>
      <w:r w:rsidR="004B6FCA" w:rsidRPr="00CA2381">
        <w:rPr>
          <w:bCs/>
          <w:szCs w:val="20"/>
        </w:rPr>
        <w:t>қорғау</w:t>
      </w:r>
      <w:proofErr w:type="spellEnd"/>
      <w:r w:rsidR="004B6FCA" w:rsidRPr="00CA2381">
        <w:rPr>
          <w:bCs/>
          <w:szCs w:val="20"/>
        </w:rPr>
        <w:t>.</w:t>
      </w:r>
      <w:r w:rsidR="004B6FCA" w:rsidRPr="00CA2381">
        <w:rPr>
          <w:b w:val="0"/>
          <w:szCs w:val="20"/>
        </w:rPr>
        <w:t xml:space="preserve"> </w:t>
      </w:r>
      <w:r w:rsidRPr="00CA2381">
        <w:rPr>
          <w:szCs w:val="20"/>
        </w:rPr>
        <w:t>(АБ 100%-</w:t>
      </w:r>
      <w:proofErr w:type="spellStart"/>
      <w:r w:rsidRPr="00CA2381">
        <w:rPr>
          <w:szCs w:val="20"/>
        </w:rPr>
        <w:t>ның</w:t>
      </w:r>
      <w:proofErr w:type="spellEnd"/>
      <w:r w:rsidRPr="00CA2381">
        <w:rPr>
          <w:szCs w:val="20"/>
        </w:rPr>
        <w:t xml:space="preserve"> 25%)</w:t>
      </w:r>
    </w:p>
    <w:p w14:paraId="4C597185" w14:textId="77777777" w:rsidR="00ED658C" w:rsidRPr="00CA2381" w:rsidRDefault="00817D6E">
      <w:pPr>
        <w:spacing w:after="0"/>
        <w:ind w:left="386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4835" w:type="dxa"/>
        <w:tblInd w:w="133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2797"/>
        <w:gridCol w:w="3142"/>
        <w:gridCol w:w="2671"/>
        <w:gridCol w:w="3307"/>
        <w:gridCol w:w="2918"/>
      </w:tblGrid>
      <w:tr w:rsidR="00ED658C" w:rsidRPr="00CA2381" w14:paraId="0719EA66" w14:textId="77777777">
        <w:trPr>
          <w:trHeight w:val="470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1E64E74A" w14:textId="77777777" w:rsidR="00ED658C" w:rsidRPr="00CA2381" w:rsidRDefault="00817D6E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009D1E9" w14:textId="77777777" w:rsidR="00ED658C" w:rsidRPr="00CA2381" w:rsidRDefault="00817D6E">
            <w:pPr>
              <w:ind w:left="1222" w:right="542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3C68AD2" w14:textId="77777777" w:rsidR="00ED658C" w:rsidRPr="00CA2381" w:rsidRDefault="00817D6E">
            <w:pPr>
              <w:ind w:left="993" w:right="278" w:hanging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15-20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2C87673" w14:textId="77777777" w:rsidR="00ED658C" w:rsidRPr="00CA2381" w:rsidRDefault="00817D6E">
            <w:pPr>
              <w:ind w:left="1353" w:right="82" w:hanging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F7503A7" w14:textId="77777777" w:rsidR="00ED658C" w:rsidRPr="00CA2381" w:rsidRDefault="00817D6E">
            <w:pPr>
              <w:ind w:left="1231" w:hanging="85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0-10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ED658C" w:rsidRPr="00CA2381" w14:paraId="01D078EA" w14:textId="77777777">
        <w:trPr>
          <w:trHeight w:val="1498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FE89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Мазмұнның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7913" w14:textId="56C8F89A" w:rsidR="00ED658C" w:rsidRPr="00CA2381" w:rsidRDefault="004B6FCA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баяндалған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беріліп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87C1" w14:textId="77777777" w:rsidR="004B6FCA" w:rsidRPr="004B6FCA" w:rsidRDefault="004B6FCA" w:rsidP="004B6FCA">
            <w:pPr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негізінен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алайда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тереңдетілмей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07CDA8" w14:textId="12F0BF10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D431" w14:textId="77777777" w:rsidR="004B6FCA" w:rsidRPr="004B6FCA" w:rsidRDefault="004B6FCA" w:rsidP="004B6FCA">
            <w:pPr>
              <w:ind w:left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елеулі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олқылықтар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байқалады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айырмашылықтары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талданбаған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697442" w14:textId="7D95DB31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EFBE" w14:textId="77777777" w:rsidR="004B6FCA" w:rsidRPr="004B6FCA" w:rsidRDefault="004B6FCA" w:rsidP="004B6FCA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толығымен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сипатталмаған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4B6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9DD3BB" w14:textId="02E1C272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1D815150" w14:textId="77777777">
        <w:trPr>
          <w:trHeight w:val="236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6387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B7B7" w14:textId="77777777" w:rsidR="004B6FCA" w:rsidRPr="004B6FCA" w:rsidRDefault="004B6FCA" w:rsidP="004B6FCA">
            <w:pPr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келісімдер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айқындайтын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актілерге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96AEF5" w14:textId="7EACA8B2" w:rsidR="00ED658C" w:rsidRPr="00CA2381" w:rsidRDefault="00ED658C">
            <w:pPr>
              <w:ind w:left="12" w:right="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D588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Алайда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тереңірек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тоқталу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8266" w14:textId="77777777" w:rsidR="004B6FCA" w:rsidRPr="004B6FCA" w:rsidRDefault="004B6FCA" w:rsidP="004B6FCA">
            <w:pPr>
              <w:spacing w:line="266" w:lineRule="auto"/>
              <w:ind w:left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институттарға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сондықтан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A13709" w14:textId="647F5C36" w:rsidR="00ED658C" w:rsidRPr="00CA2381" w:rsidRDefault="00ED658C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24C9" w14:textId="77777777" w:rsidR="004B6FCA" w:rsidRPr="004B6FCA" w:rsidRDefault="004B6FCA" w:rsidP="004B6FCA">
            <w:pPr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институттар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түсіндірілмеген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соның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салдарынан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C945A3" w14:textId="4A217819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5CE42B6C" w14:textId="77777777">
        <w:trPr>
          <w:trHeight w:val="162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2E67" w14:textId="77777777" w:rsidR="00ED658C" w:rsidRPr="00CA2381" w:rsidRDefault="00817D6E">
            <w:pPr>
              <w:spacing w:line="281" w:lineRule="auto"/>
              <w:ind w:left="11" w:right="3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15CBB5" w14:textId="77777777" w:rsidR="00ED658C" w:rsidRPr="00CA2381" w:rsidRDefault="00817D6E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механизмдерін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611D" w14:textId="77777777" w:rsidR="004B6FCA" w:rsidRPr="004B6FCA" w:rsidRDefault="004B6FCA" w:rsidP="004B6FCA">
            <w:pPr>
              <w:ind w:left="7" w:right="1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реттеуші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табушы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тәуекелді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көтеруші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тұрғыда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34B1A1" w14:textId="093D3F0C" w:rsidR="00ED658C" w:rsidRPr="00CA2381" w:rsidRDefault="00ED658C">
            <w:pPr>
              <w:ind w:left="7" w:right="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E000" w14:textId="77777777" w:rsidR="004B6FCA" w:rsidRPr="004B6FCA" w:rsidRDefault="004B6FCA" w:rsidP="004B6FCA">
            <w:pPr>
              <w:spacing w:line="280" w:lineRule="auto"/>
              <w:ind w:lef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Дегенмен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553C63" w14:textId="18D7B503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F793" w14:textId="77777777" w:rsidR="004B6FCA" w:rsidRPr="004B6FCA" w:rsidRDefault="004B6FCA" w:rsidP="004B6FCA">
            <w:pPr>
              <w:ind w:left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механизмдері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тетіктер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FA73B6" w14:textId="50F35AB7" w:rsidR="00ED658C" w:rsidRPr="00CA2381" w:rsidRDefault="00ED658C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3C02" w14:textId="77777777" w:rsidR="004B6FCA" w:rsidRPr="004B6FCA" w:rsidRDefault="004B6FCA" w:rsidP="004B6FCA">
            <w:pPr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механизмдері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қарастырылмаған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35ED7A" w14:textId="146FBA1A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67D53ECE" w14:textId="77777777">
        <w:trPr>
          <w:trHeight w:val="1166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C0BA" w14:textId="77777777" w:rsidR="00ED658C" w:rsidRPr="00CA2381" w:rsidRDefault="00817D6E">
            <w:pPr>
              <w:spacing w:after="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F886807" w14:textId="77777777" w:rsidR="00ED658C" w:rsidRPr="00CA2381" w:rsidRDefault="00817D6E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АРА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style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A0D1" w14:textId="77777777" w:rsidR="00ED658C" w:rsidRPr="00CA2381" w:rsidRDefault="00817D6E">
            <w:pPr>
              <w:ind w:left="7" w:righ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сауатты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оңай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оқылады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6EAF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кедергі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келтірмейді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F3AF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5EB0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нашар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7AD75FDD" w14:textId="77777777" w:rsidR="00ED658C" w:rsidRPr="00CA2381" w:rsidRDefault="00817D6E">
      <w:pPr>
        <w:spacing w:after="0"/>
        <w:ind w:left="122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85AB3B" w14:textId="77777777" w:rsidR="00ED658C" w:rsidRPr="00CA2381" w:rsidRDefault="00817D6E">
      <w:pPr>
        <w:spacing w:after="44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A06B959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F0146AC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F012F4B" w14:textId="77777777" w:rsidR="00ED658C" w:rsidRPr="00CA2381" w:rsidRDefault="00817D6E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AF4D146" w14:textId="77777777" w:rsidR="004B6FCA" w:rsidRPr="00CA2381" w:rsidRDefault="004B6FCA" w:rsidP="00957BB4">
      <w:pPr>
        <w:spacing w:after="44"/>
        <w:ind w:left="54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D2F12EE" w14:textId="38A69D7F" w:rsidR="00ED658C" w:rsidRPr="00CA2381" w:rsidRDefault="00817D6E" w:rsidP="00957BB4">
      <w:pPr>
        <w:spacing w:after="44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</w:t>
      </w:r>
    </w:p>
    <w:p w14:paraId="11F63484" w14:textId="77777777" w:rsidR="00ED658C" w:rsidRPr="00CA2381" w:rsidRDefault="00817D6E">
      <w:pPr>
        <w:spacing w:after="0"/>
        <w:ind w:left="544"/>
        <w:jc w:val="center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D496FC4" w14:textId="77777777" w:rsidR="00ED658C" w:rsidRPr="00CA2381" w:rsidRDefault="00817D6E">
      <w:pPr>
        <w:spacing w:after="84"/>
        <w:ind w:left="10" w:right="5129" w:hanging="10"/>
        <w:jc w:val="right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b/>
          <w:sz w:val="20"/>
          <w:szCs w:val="20"/>
        </w:rPr>
        <w:t xml:space="preserve">ЖИЫНТЫҚ БАҒАЛАУ РУБРИКАТОРЫ </w:t>
      </w:r>
    </w:p>
    <w:p w14:paraId="0675AE04" w14:textId="2D094311" w:rsidR="004B6FCA" w:rsidRPr="00CA2381" w:rsidRDefault="00817D6E" w:rsidP="004B6FCA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A2381">
        <w:rPr>
          <w:rFonts w:ascii="Times New Roman" w:hAnsi="Times New Roman" w:cs="Times New Roman"/>
          <w:b/>
          <w:bCs/>
          <w:sz w:val="20"/>
          <w:szCs w:val="20"/>
        </w:rPr>
        <w:t>ОҚУ НӘТИЖЕЛЕРІН БАҒАЛАУ КРИТЕРИЙЛЕРІ</w:t>
      </w:r>
    </w:p>
    <w:p w14:paraId="71F02C45" w14:textId="7F4EA0A4" w:rsidR="004B6FCA" w:rsidRPr="00473249" w:rsidRDefault="00817D6E" w:rsidP="004B6FC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A2381">
        <w:rPr>
          <w:rFonts w:ascii="Times New Roman" w:hAnsi="Times New Roman" w:cs="Times New Roman"/>
          <w:b/>
          <w:bCs/>
          <w:sz w:val="20"/>
          <w:szCs w:val="20"/>
        </w:rPr>
        <w:t xml:space="preserve">СӨЖ 4. </w:t>
      </w:r>
      <w:proofErr w:type="gramStart"/>
      <w:r w:rsidRPr="00CA2381">
        <w:rPr>
          <w:rFonts w:ascii="Times New Roman" w:hAnsi="Times New Roman" w:cs="Times New Roman"/>
          <w:b/>
          <w:bCs/>
          <w:sz w:val="20"/>
          <w:szCs w:val="20"/>
        </w:rPr>
        <w:t xml:space="preserve">« </w:t>
      </w:r>
      <w:r w:rsidR="004B6FCA" w:rsidRPr="00473249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Мемлекет</w:t>
      </w:r>
      <w:proofErr w:type="gramEnd"/>
      <w:r w:rsidR="004B6FCA" w:rsidRPr="00473249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пен инвестор арасындағы құқықтық қатынастардың ерекшеліктері.</w:t>
      </w:r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Презентация </w:t>
      </w:r>
      <w:proofErr w:type="spellStart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>жасау</w:t>
      </w:r>
      <w:proofErr w:type="spellEnd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>қорғау</w:t>
      </w:r>
      <w:proofErr w:type="spellEnd"/>
      <w:r w:rsidR="004B6FCA" w:rsidRPr="00CA2381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5517470" w14:textId="25DF3706" w:rsidR="00ED658C" w:rsidRPr="00CA2381" w:rsidRDefault="00817D6E">
      <w:pPr>
        <w:pStyle w:val="1"/>
        <w:ind w:left="371" w:right="4120" w:firstLine="4772"/>
        <w:rPr>
          <w:szCs w:val="20"/>
        </w:rPr>
      </w:pPr>
      <w:r w:rsidRPr="00CA2381">
        <w:rPr>
          <w:szCs w:val="20"/>
        </w:rPr>
        <w:t>(АБ 100%-</w:t>
      </w:r>
      <w:proofErr w:type="spellStart"/>
      <w:r w:rsidRPr="00CA2381">
        <w:rPr>
          <w:szCs w:val="20"/>
        </w:rPr>
        <w:t>ның</w:t>
      </w:r>
      <w:proofErr w:type="spellEnd"/>
      <w:r w:rsidRPr="00CA2381">
        <w:rPr>
          <w:szCs w:val="20"/>
        </w:rPr>
        <w:t xml:space="preserve"> 25%) </w:t>
      </w:r>
    </w:p>
    <w:tbl>
      <w:tblPr>
        <w:tblStyle w:val="TableGrid"/>
        <w:tblW w:w="14835" w:type="dxa"/>
        <w:tblInd w:w="133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2797"/>
        <w:gridCol w:w="3142"/>
        <w:gridCol w:w="2671"/>
        <w:gridCol w:w="3307"/>
        <w:gridCol w:w="2918"/>
      </w:tblGrid>
      <w:tr w:rsidR="00ED658C" w:rsidRPr="00CA2381" w14:paraId="7C620C08" w14:textId="77777777">
        <w:trPr>
          <w:trHeight w:val="472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50ECDC68" w14:textId="77777777" w:rsidR="00ED658C" w:rsidRPr="00CA2381" w:rsidRDefault="00817D6E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9D05507" w14:textId="77777777" w:rsidR="00ED658C" w:rsidRPr="00CA2381" w:rsidRDefault="00817D6E">
            <w:pPr>
              <w:ind w:left="1222" w:right="542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85ABFD1" w14:textId="77777777" w:rsidR="00ED658C" w:rsidRPr="00CA2381" w:rsidRDefault="00817D6E">
            <w:pPr>
              <w:ind w:left="993" w:right="278" w:hanging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15-20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0C7D7957" w14:textId="77777777" w:rsidR="00ED658C" w:rsidRPr="00CA2381" w:rsidRDefault="00817D6E">
            <w:pPr>
              <w:ind w:left="1353" w:right="82" w:hanging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44A4ABDD" w14:textId="77777777" w:rsidR="00ED658C" w:rsidRPr="00CA2381" w:rsidRDefault="00817D6E">
            <w:pPr>
              <w:ind w:left="1231" w:hanging="85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Қанағаттанарлықсыз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0-10</w:t>
            </w:r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ED658C" w:rsidRPr="00CA2381" w14:paraId="6D13E23F" w14:textId="77777777">
        <w:trPr>
          <w:trHeight w:val="1858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8B70" w14:textId="77777777" w:rsidR="00ED658C" w:rsidRPr="00CA2381" w:rsidRDefault="00817D6E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Тақырыптың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ашылуы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0764" w14:textId="77777777" w:rsidR="004B6FCA" w:rsidRPr="004B6FCA" w:rsidRDefault="004B6FCA" w:rsidP="004B6FCA">
            <w:pPr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толыққанды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маңыздылығы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баяндалған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161D56" w14:textId="7096F3AC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10F6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60FF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беткей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жетіспейді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CFE3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айтарлықтай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кемшіліктер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 </w:t>
            </w:r>
          </w:p>
        </w:tc>
      </w:tr>
      <w:tr w:rsidR="00ED658C" w:rsidRPr="00CA2381" w14:paraId="64BB468C" w14:textId="77777777">
        <w:trPr>
          <w:trHeight w:val="188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803A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9081" w14:textId="77777777" w:rsidR="004B6FCA" w:rsidRPr="004B6FCA" w:rsidRDefault="004B6FCA" w:rsidP="004B6FCA">
            <w:pPr>
              <w:ind w:left="12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субъектілерінің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концепциялар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айқындайтын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келісімдерге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тиісті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актілерге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келтірілген</w:t>
            </w:r>
            <w:proofErr w:type="spellEnd"/>
            <w:r w:rsidRPr="004B6F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D2F5EE" w14:textId="3273D14F" w:rsidR="00ED658C" w:rsidRPr="00CA2381" w:rsidRDefault="00ED658C">
            <w:pPr>
              <w:ind w:left="12" w:right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8286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516D" w14:textId="77777777" w:rsidR="00ED658C" w:rsidRPr="00CA2381" w:rsidRDefault="00817D6E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қарастырылмаған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C174" w14:textId="77777777" w:rsidR="00ED658C" w:rsidRPr="00CA2381" w:rsidRDefault="00817D6E">
            <w:pPr>
              <w:ind w:left="-25" w:firstLine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негіздеме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proofErr w:type="gram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D658C" w:rsidRPr="00CA2381" w14:paraId="362D52F7" w14:textId="77777777">
        <w:trPr>
          <w:trHeight w:val="162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46AB" w14:textId="77777777" w:rsidR="00ED658C" w:rsidRPr="00CA2381" w:rsidRDefault="00817D6E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БҰҰ-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F7D9" w14:textId="5C51EE06" w:rsidR="00ED658C" w:rsidRPr="00CA2381" w:rsidRDefault="005303C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тетіктері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инвестор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теңгерім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дауларды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құқықты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17D6E"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FEB3" w14:textId="185FEFB7" w:rsidR="00ED658C" w:rsidRPr="00CA2381" w:rsidRDefault="005303CC">
            <w:pPr>
              <w:ind w:left="7" w:righ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қағидаттары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инвесторлардың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кепілдіктері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шетелдік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орнату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дауларды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бейбіт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жолмен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DBB8" w14:textId="5EB99012" w:rsidR="00ED658C" w:rsidRPr="00CA2381" w:rsidRDefault="005303CC">
            <w:pPr>
              <w:ind w:left="-16" w:firstLine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Инвестициялық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инвестор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толыққанды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талданған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институттардың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дамытудағы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сипатталған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7AA8" w14:textId="77777777" w:rsidR="005303CC" w:rsidRPr="005303CC" w:rsidRDefault="005303CC" w:rsidP="005303CC">
            <w:pPr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құқықтағы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инвестордың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тетіктері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қарастырылмаған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түсіндірілмеген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C1C848" w14:textId="6469632C" w:rsidR="00ED658C" w:rsidRPr="00CA2381" w:rsidRDefault="00ED658C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8C" w:rsidRPr="00CA2381" w14:paraId="614CEC52" w14:textId="77777777">
        <w:trPr>
          <w:trHeight w:val="1167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9B49" w14:textId="77777777" w:rsidR="00ED658C" w:rsidRPr="00CA2381" w:rsidRDefault="00817D6E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F2EC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талдаулар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Кеден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заңдарын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бұзғандық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жауапкершілікті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қамтиды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1271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тұжырымдар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3032" w14:textId="77777777" w:rsidR="00ED658C" w:rsidRPr="00CA2381" w:rsidRDefault="00817D6E">
            <w:pPr>
              <w:spacing w:line="28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шешімдер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C92E260" w14:textId="77777777" w:rsidR="00ED658C" w:rsidRPr="00CA2381" w:rsidRDefault="00817D6E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7284" w14:textId="77777777" w:rsidR="00ED658C" w:rsidRPr="00CA2381" w:rsidRDefault="00817D6E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мазмұнымен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A2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5F12F2BC" w14:textId="77777777" w:rsidR="00ED658C" w:rsidRPr="00CA2381" w:rsidRDefault="00817D6E">
      <w:pPr>
        <w:spacing w:after="0"/>
        <w:ind w:left="122"/>
        <w:rPr>
          <w:rFonts w:ascii="Times New Roman" w:hAnsi="Times New Roman" w:cs="Times New Roman"/>
          <w:sz w:val="20"/>
          <w:szCs w:val="20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F6F42E" w14:textId="77777777" w:rsidR="00ED658C" w:rsidRPr="00CA2381" w:rsidRDefault="00817D6E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CA23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EAEE87" w14:textId="77777777" w:rsidR="00A7142F" w:rsidRPr="00CA2381" w:rsidRDefault="00A7142F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A3C54D" w14:textId="77777777" w:rsidR="00A7142F" w:rsidRPr="00CA2381" w:rsidRDefault="00A7142F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F43366" w14:textId="77777777" w:rsidR="00A7142F" w:rsidRPr="00CA2381" w:rsidRDefault="00A7142F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EE095C" w14:textId="77777777" w:rsidR="00A7142F" w:rsidRPr="00CA2381" w:rsidRDefault="00A7142F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969508F" w14:textId="77777777" w:rsidR="00A7142F" w:rsidRPr="00CA2381" w:rsidRDefault="00A7142F">
      <w:pPr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D81B93D" w14:textId="77777777" w:rsidR="00A7142F" w:rsidRPr="00CA2381" w:rsidRDefault="00A7142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7142F" w:rsidRPr="00CA2381">
      <w:pgSz w:w="16841" w:h="11911" w:orient="landscape"/>
      <w:pgMar w:top="790" w:right="1805" w:bottom="300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133"/>
    <w:multiLevelType w:val="multilevel"/>
    <w:tmpl w:val="F53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4B1"/>
    <w:multiLevelType w:val="multilevel"/>
    <w:tmpl w:val="855E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1278"/>
    <w:multiLevelType w:val="hybridMultilevel"/>
    <w:tmpl w:val="53880BA4"/>
    <w:lvl w:ilvl="0" w:tplc="E98E957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72496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2B0BE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EA2D3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FEE1F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60BD26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6314A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5C939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833F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5F2EDA"/>
    <w:multiLevelType w:val="hybridMultilevel"/>
    <w:tmpl w:val="289C489C"/>
    <w:lvl w:ilvl="0" w:tplc="E664518C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484D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84692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D2F20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0276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CE46F6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C5218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249A0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47E3C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D0546"/>
    <w:multiLevelType w:val="multilevel"/>
    <w:tmpl w:val="D72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D15B6"/>
    <w:multiLevelType w:val="multilevel"/>
    <w:tmpl w:val="27F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F5F7A"/>
    <w:multiLevelType w:val="multilevel"/>
    <w:tmpl w:val="35B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D2775"/>
    <w:multiLevelType w:val="multilevel"/>
    <w:tmpl w:val="C9D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241D8"/>
    <w:multiLevelType w:val="hybridMultilevel"/>
    <w:tmpl w:val="6E8695A0"/>
    <w:lvl w:ilvl="0" w:tplc="BD80802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D623E4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0B74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EDCA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F289BA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2C41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A4DC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E77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2CBCB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E3100"/>
    <w:multiLevelType w:val="multilevel"/>
    <w:tmpl w:val="2A28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88B"/>
    <w:multiLevelType w:val="multilevel"/>
    <w:tmpl w:val="A5C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7628F"/>
    <w:multiLevelType w:val="multilevel"/>
    <w:tmpl w:val="834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1769D"/>
    <w:multiLevelType w:val="hybridMultilevel"/>
    <w:tmpl w:val="72F462C2"/>
    <w:lvl w:ilvl="0" w:tplc="0BF87ACA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4E9B2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A20A2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8AB1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6651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9CB0C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48CD58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8319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7C33E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B3017A"/>
    <w:multiLevelType w:val="hybridMultilevel"/>
    <w:tmpl w:val="B3122AFE"/>
    <w:lvl w:ilvl="0" w:tplc="CEA29186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A5F80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C6F3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6623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D24A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AED2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8C95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BC598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1A560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AB4FBC"/>
    <w:multiLevelType w:val="multilevel"/>
    <w:tmpl w:val="34A8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212C9"/>
    <w:multiLevelType w:val="hybridMultilevel"/>
    <w:tmpl w:val="289C489C"/>
    <w:lvl w:ilvl="0" w:tplc="FFFFFFFF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AE17D1"/>
    <w:multiLevelType w:val="multilevel"/>
    <w:tmpl w:val="C67E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80AC5"/>
    <w:multiLevelType w:val="multilevel"/>
    <w:tmpl w:val="993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9298C"/>
    <w:multiLevelType w:val="multilevel"/>
    <w:tmpl w:val="323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01D21"/>
    <w:multiLevelType w:val="multilevel"/>
    <w:tmpl w:val="3F5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F0066"/>
    <w:multiLevelType w:val="multilevel"/>
    <w:tmpl w:val="D40E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36F11"/>
    <w:multiLevelType w:val="hybridMultilevel"/>
    <w:tmpl w:val="49D018A2"/>
    <w:lvl w:ilvl="0" w:tplc="5C663898">
      <w:start w:val="4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5F92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6BF6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A3ED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2579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8E642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38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C1AF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C5838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B02129"/>
    <w:multiLevelType w:val="multilevel"/>
    <w:tmpl w:val="90C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85779">
    <w:abstractNumId w:val="12"/>
  </w:num>
  <w:num w:numId="2" w16cid:durableId="939026813">
    <w:abstractNumId w:val="2"/>
  </w:num>
  <w:num w:numId="3" w16cid:durableId="1833058264">
    <w:abstractNumId w:val="3"/>
  </w:num>
  <w:num w:numId="4" w16cid:durableId="1550651952">
    <w:abstractNumId w:val="15"/>
  </w:num>
  <w:num w:numId="5" w16cid:durableId="1790011449">
    <w:abstractNumId w:val="8"/>
  </w:num>
  <w:num w:numId="6" w16cid:durableId="192425899">
    <w:abstractNumId w:val="21"/>
  </w:num>
  <w:num w:numId="7" w16cid:durableId="801727156">
    <w:abstractNumId w:val="13"/>
  </w:num>
  <w:num w:numId="8" w16cid:durableId="677778979">
    <w:abstractNumId w:val="19"/>
  </w:num>
  <w:num w:numId="9" w16cid:durableId="975911848">
    <w:abstractNumId w:val="1"/>
  </w:num>
  <w:num w:numId="10" w16cid:durableId="1323584720">
    <w:abstractNumId w:val="14"/>
  </w:num>
  <w:num w:numId="11" w16cid:durableId="1547912709">
    <w:abstractNumId w:val="6"/>
  </w:num>
  <w:num w:numId="12" w16cid:durableId="343872239">
    <w:abstractNumId w:val="16"/>
  </w:num>
  <w:num w:numId="13" w16cid:durableId="1035934026">
    <w:abstractNumId w:val="7"/>
  </w:num>
  <w:num w:numId="14" w16cid:durableId="894390126">
    <w:abstractNumId w:val="20"/>
  </w:num>
  <w:num w:numId="15" w16cid:durableId="801314443">
    <w:abstractNumId w:val="0"/>
  </w:num>
  <w:num w:numId="16" w16cid:durableId="1231695332">
    <w:abstractNumId w:val="22"/>
  </w:num>
  <w:num w:numId="17" w16cid:durableId="1591311771">
    <w:abstractNumId w:val="9"/>
  </w:num>
  <w:num w:numId="18" w16cid:durableId="661550075">
    <w:abstractNumId w:val="17"/>
  </w:num>
  <w:num w:numId="19" w16cid:durableId="1212690104">
    <w:abstractNumId w:val="11"/>
  </w:num>
  <w:num w:numId="20" w16cid:durableId="1687057683">
    <w:abstractNumId w:val="5"/>
  </w:num>
  <w:num w:numId="21" w16cid:durableId="1446655865">
    <w:abstractNumId w:val="10"/>
  </w:num>
  <w:num w:numId="22" w16cid:durableId="2124180043">
    <w:abstractNumId w:val="18"/>
  </w:num>
  <w:num w:numId="23" w16cid:durableId="1538856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8C"/>
    <w:rsid w:val="000538E7"/>
    <w:rsid w:val="00056A00"/>
    <w:rsid w:val="00060BDB"/>
    <w:rsid w:val="000B5F18"/>
    <w:rsid w:val="000D1480"/>
    <w:rsid w:val="000E4A22"/>
    <w:rsid w:val="001122B6"/>
    <w:rsid w:val="001556F7"/>
    <w:rsid w:val="00160290"/>
    <w:rsid w:val="0018064D"/>
    <w:rsid w:val="00180FAF"/>
    <w:rsid w:val="001A245B"/>
    <w:rsid w:val="001E1E2E"/>
    <w:rsid w:val="001F1078"/>
    <w:rsid w:val="00204F82"/>
    <w:rsid w:val="002F7990"/>
    <w:rsid w:val="00404916"/>
    <w:rsid w:val="004060A8"/>
    <w:rsid w:val="004117EC"/>
    <w:rsid w:val="00431104"/>
    <w:rsid w:val="00436C5D"/>
    <w:rsid w:val="00440AD4"/>
    <w:rsid w:val="00443658"/>
    <w:rsid w:val="00473249"/>
    <w:rsid w:val="004B6FCA"/>
    <w:rsid w:val="004B7009"/>
    <w:rsid w:val="004D48ED"/>
    <w:rsid w:val="004E1A69"/>
    <w:rsid w:val="004F1219"/>
    <w:rsid w:val="005303CC"/>
    <w:rsid w:val="00552ADE"/>
    <w:rsid w:val="00582835"/>
    <w:rsid w:val="005A2882"/>
    <w:rsid w:val="006813C0"/>
    <w:rsid w:val="006C2104"/>
    <w:rsid w:val="007406D9"/>
    <w:rsid w:val="00785FDF"/>
    <w:rsid w:val="00793282"/>
    <w:rsid w:val="00805BED"/>
    <w:rsid w:val="00817D6E"/>
    <w:rsid w:val="00873C1D"/>
    <w:rsid w:val="0088388F"/>
    <w:rsid w:val="008A3C7F"/>
    <w:rsid w:val="008A602B"/>
    <w:rsid w:val="009311A5"/>
    <w:rsid w:val="00950AE4"/>
    <w:rsid w:val="00957BB4"/>
    <w:rsid w:val="009875A5"/>
    <w:rsid w:val="0099590D"/>
    <w:rsid w:val="009E1612"/>
    <w:rsid w:val="00A7142F"/>
    <w:rsid w:val="00AB3982"/>
    <w:rsid w:val="00AB6972"/>
    <w:rsid w:val="00AC1FC9"/>
    <w:rsid w:val="00AC635E"/>
    <w:rsid w:val="00AF3059"/>
    <w:rsid w:val="00B12B00"/>
    <w:rsid w:val="00B305B1"/>
    <w:rsid w:val="00BE3F85"/>
    <w:rsid w:val="00CA2381"/>
    <w:rsid w:val="00D42CA9"/>
    <w:rsid w:val="00D42FF3"/>
    <w:rsid w:val="00D65BDF"/>
    <w:rsid w:val="00DB3109"/>
    <w:rsid w:val="00DF4758"/>
    <w:rsid w:val="00E549D4"/>
    <w:rsid w:val="00E5584A"/>
    <w:rsid w:val="00E91EDD"/>
    <w:rsid w:val="00ED658C"/>
    <w:rsid w:val="00F0226F"/>
    <w:rsid w:val="00F41B36"/>
    <w:rsid w:val="00F45B98"/>
    <w:rsid w:val="00F6004A"/>
    <w:rsid w:val="00F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165A"/>
  <w15:docId w15:val="{6FDCE080-E669-4C32-B55A-1FEB311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565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7142F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3">
    <w:name w:val="Normal (Web)"/>
    <w:basedOn w:val="a"/>
    <w:uiPriority w:val="99"/>
    <w:semiHidden/>
    <w:unhideWhenUsed/>
    <w:rsid w:val="0099590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12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Бахманова Карлыгаш</cp:lastModifiedBy>
  <cp:revision>20</cp:revision>
  <dcterms:created xsi:type="dcterms:W3CDTF">2025-01-16T06:25:00Z</dcterms:created>
  <dcterms:modified xsi:type="dcterms:W3CDTF">2025-08-28T05:19:00Z</dcterms:modified>
</cp:coreProperties>
</file>